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DEEA5">
      <w:pPr>
        <w:rPr>
          <w:sz w:val="20"/>
          <w:szCs w:val="20"/>
        </w:rPr>
        <w:sectPr>
          <w:headerReference r:id="rId6" w:type="first"/>
          <w:footerReference r:id="rId8" w:type="first"/>
          <w:headerReference r:id="rId5" w:type="default"/>
          <w:footerReference r:id="rId7" w:type="default"/>
          <w:pgSz w:w="11906" w:h="16838"/>
          <w:pgMar w:top="1134" w:right="1418" w:bottom="1701" w:left="1418" w:header="1126" w:footer="851" w:gutter="0"/>
          <w:cols w:space="708" w:num="1"/>
          <w:docGrid w:linePitch="360" w:charSpace="0"/>
        </w:sectPr>
      </w:pPr>
    </w:p>
    <w:p w14:paraId="3642D1CD">
      <w:pPr>
        <w:rPr>
          <w:sz w:val="20"/>
          <w:szCs w:val="20"/>
        </w:rPr>
      </w:pPr>
    </w:p>
    <w:p w14:paraId="133B58A1">
      <w:pPr>
        <w:rPr>
          <w:sz w:val="20"/>
          <w:szCs w:val="20"/>
        </w:rPr>
      </w:pPr>
    </w:p>
    <w:p w14:paraId="14D9D8AF">
      <w:pPr>
        <w:jc w:val="center"/>
        <w:rPr>
          <w:rStyle w:val="15"/>
          <w:sz w:val="20"/>
          <w:szCs w:val="20"/>
        </w:rPr>
      </w:pPr>
    </w:p>
    <w:p w14:paraId="35E779CC">
      <w:pPr>
        <w:jc w:val="center"/>
        <w:rPr>
          <w:rStyle w:val="15"/>
          <w:sz w:val="20"/>
          <w:szCs w:val="20"/>
        </w:rPr>
      </w:pPr>
      <w:r>
        <w:rPr>
          <w:rStyle w:val="15"/>
          <w:sz w:val="20"/>
          <w:szCs w:val="20"/>
        </w:rPr>
        <w:t>MARCHÉ PUBLIC DE SERVICES</w:t>
      </w:r>
    </w:p>
    <w:p w14:paraId="2B190652">
      <w:pPr>
        <w:jc w:val="center"/>
        <w:rPr>
          <w:rStyle w:val="15"/>
          <w:sz w:val="20"/>
          <w:szCs w:val="20"/>
        </w:rPr>
      </w:pPr>
      <w:r>
        <w:rPr>
          <w:rStyle w:val="15"/>
          <w:sz w:val="20"/>
          <w:szCs w:val="20"/>
        </w:rPr>
        <w:t>Procédure adaptée</w:t>
      </w:r>
    </w:p>
    <w:p w14:paraId="7A722723">
      <w:pPr>
        <w:jc w:val="center"/>
        <w:rPr>
          <w:sz w:val="20"/>
          <w:szCs w:val="20"/>
        </w:rPr>
      </w:pPr>
    </w:p>
    <w:p w14:paraId="56FD2BA2">
      <w:pPr>
        <w:pStyle w:val="16"/>
        <w:spacing w:before="0" w:after="0"/>
        <w:rPr>
          <w:sz w:val="20"/>
          <w:szCs w:val="20"/>
        </w:rPr>
      </w:pPr>
      <w:bookmarkStart w:id="0" w:name="_Hlk178169239"/>
      <w:bookmarkStart w:id="1" w:name="_Hlk177049246"/>
      <w:r>
        <w:rPr>
          <w:sz w:val="20"/>
          <w:szCs w:val="20"/>
        </w:rPr>
        <w:t>PRESTATION DE FORMATIO</w:t>
      </w:r>
      <w:r>
        <w:rPr>
          <w:rFonts w:hint="default"/>
          <w:sz w:val="20"/>
          <w:szCs w:val="20"/>
          <w:lang w:val="fr-FR"/>
        </w:rPr>
        <w:t>N INFORMATIQUE</w:t>
      </w:r>
      <w:bookmarkEnd w:id="0"/>
      <w:bookmarkEnd w:id="1"/>
      <w:r>
        <w:rPr>
          <w:sz w:val="20"/>
          <w:szCs w:val="20"/>
        </w:rPr>
        <w:t xml:space="preserve"> </w:t>
      </w:r>
    </w:p>
    <w:p w14:paraId="19536CDE">
      <w:pPr>
        <w:pStyle w:val="16"/>
        <w:spacing w:before="0" w:after="0"/>
        <w:rPr>
          <w:rFonts w:hint="default"/>
          <w:sz w:val="20"/>
          <w:szCs w:val="20"/>
          <w:lang w:val="fr-FR"/>
        </w:rPr>
      </w:pPr>
    </w:p>
    <w:p w14:paraId="5E9CEE26">
      <w:pPr>
        <w:pStyle w:val="16"/>
        <w:spacing w:before="0" w:after="0"/>
        <w:rPr>
          <w:rFonts w:hint="default"/>
          <w:sz w:val="20"/>
          <w:szCs w:val="20"/>
          <w:lang w:val="fr-FR"/>
        </w:rPr>
      </w:pPr>
      <w:r>
        <w:rPr>
          <w:rFonts w:hint="default"/>
          <w:sz w:val="20"/>
          <w:szCs w:val="20"/>
          <w:lang w:val="fr-FR"/>
        </w:rPr>
        <w:t>Figma Design</w:t>
      </w:r>
    </w:p>
    <w:p w14:paraId="21D1A56B">
      <w:pPr>
        <w:pStyle w:val="16"/>
        <w:keepNext w:val="0"/>
        <w:keepLines w:val="0"/>
        <w:pageBreakBefore w:val="0"/>
        <w:widowControl/>
        <w:kinsoku/>
        <w:wordWrap/>
        <w:overflowPunct/>
        <w:topLinePunct w:val="0"/>
        <w:autoSpaceDE/>
        <w:autoSpaceDN/>
        <w:bidi w:val="0"/>
        <w:adjustRightInd/>
        <w:snapToGrid/>
        <w:textAlignment w:val="auto"/>
        <w:rPr>
          <w:rStyle w:val="15"/>
          <w:rFonts w:hint="default" w:asciiTheme="minorHAnsi" w:hAnsiTheme="minorHAnsi" w:eastAsiaTheme="minorHAnsi" w:cstheme="minorBidi"/>
          <w:b w:val="0"/>
          <w:iCs w:val="0"/>
          <w:sz w:val="20"/>
          <w:szCs w:val="20"/>
          <w:lang w:val="fr-FR"/>
        </w:rPr>
      </w:pPr>
    </w:p>
    <w:p w14:paraId="6E5BAA4D">
      <w:pPr>
        <w:pStyle w:val="16"/>
        <w:rPr>
          <w:rStyle w:val="15"/>
          <w:rFonts w:hint="default" w:asciiTheme="minorHAnsi" w:hAnsiTheme="minorHAnsi" w:eastAsiaTheme="minorHAnsi" w:cstheme="minorBidi"/>
          <w:b w:val="0"/>
          <w:iCs w:val="0"/>
          <w:sz w:val="20"/>
          <w:szCs w:val="20"/>
          <w:lang w:val="fr-FR"/>
        </w:rPr>
      </w:pPr>
      <w:r>
        <w:rPr>
          <w:rStyle w:val="15"/>
          <w:rFonts w:hint="default" w:asciiTheme="minorHAnsi" w:hAnsiTheme="minorHAnsi" w:eastAsiaTheme="minorHAnsi" w:cstheme="minorBidi"/>
          <w:b w:val="0"/>
          <w:iCs w:val="0"/>
          <w:sz w:val="20"/>
          <w:szCs w:val="20"/>
          <w:lang w:val="fr-FR"/>
        </w:rPr>
        <w:t>ACCORD-CADRE MONO-ATTRIBUTAIRE À BONS DE COMMANDE</w:t>
      </w:r>
    </w:p>
    <w:p w14:paraId="763935C5">
      <w:pPr>
        <w:pStyle w:val="16"/>
        <w:rPr>
          <w:rStyle w:val="15"/>
          <w:b w:val="0"/>
          <w:iCs w:val="0"/>
          <w:sz w:val="20"/>
          <w:szCs w:val="20"/>
        </w:rPr>
      </w:pPr>
      <w:r>
        <w:rPr>
          <w:rStyle w:val="15"/>
          <w:b w:val="0"/>
          <w:iCs w:val="0"/>
          <w:sz w:val="20"/>
          <w:szCs w:val="20"/>
        </w:rPr>
        <w:t>CAHIER DES CLAUSES PARTICULIÈRES VALANT ACTE D’ENGAGEMENT (CCP-AE)</w:t>
      </w:r>
    </w:p>
    <w:p w14:paraId="410CD828">
      <w:pPr>
        <w:pStyle w:val="16"/>
        <w:rPr>
          <w:sz w:val="20"/>
          <w:szCs w:val="20"/>
        </w:rPr>
      </w:pPr>
      <w:r>
        <w:rPr>
          <w:rStyle w:val="15"/>
          <w:b/>
          <w:iCs/>
          <w:sz w:val="20"/>
          <w:szCs w:val="20"/>
        </w:rPr>
        <w:t>GBM N° 2</w:t>
      </w:r>
      <w:r>
        <w:rPr>
          <w:rStyle w:val="15"/>
          <w:rFonts w:hint="default"/>
          <w:b/>
          <w:iCs/>
          <w:sz w:val="20"/>
          <w:szCs w:val="20"/>
          <w:lang w:val="fr-FR"/>
        </w:rPr>
        <w:t>6046</w:t>
      </w:r>
    </w:p>
    <w:p w14:paraId="6E355B8A">
      <w:pPr>
        <w:rPr>
          <w:sz w:val="20"/>
          <w:szCs w:val="20"/>
        </w:rPr>
      </w:pPr>
    </w:p>
    <w:p w14:paraId="10059F98">
      <w:pPr>
        <w:pBdr>
          <w:top w:val="single" w:color="auto" w:sz="4" w:space="1"/>
          <w:left w:val="single" w:color="auto" w:sz="4" w:space="4"/>
          <w:bottom w:val="single" w:color="auto" w:sz="4" w:space="1"/>
          <w:right w:val="single" w:color="auto" w:sz="4" w:space="4"/>
        </w:pBdr>
        <w:jc w:val="center"/>
        <w:rPr>
          <w:sz w:val="20"/>
          <w:szCs w:val="20"/>
        </w:rPr>
      </w:pPr>
      <w:r>
        <w:rPr>
          <w:sz w:val="20"/>
          <w:szCs w:val="20"/>
        </w:rPr>
        <w:t>Marché n°</w:t>
      </w:r>
    </w:p>
    <w:p w14:paraId="6C9585F5">
      <w:pPr>
        <w:pBdr>
          <w:top w:val="single" w:color="auto" w:sz="4" w:space="1"/>
          <w:left w:val="single" w:color="auto" w:sz="4" w:space="4"/>
          <w:bottom w:val="single" w:color="auto" w:sz="4" w:space="1"/>
          <w:right w:val="single" w:color="auto" w:sz="4" w:space="4"/>
        </w:pBdr>
        <w:jc w:val="center"/>
        <w:rPr>
          <w:sz w:val="20"/>
          <w:szCs w:val="20"/>
        </w:rPr>
      </w:pPr>
    </w:p>
    <w:p w14:paraId="17494C13">
      <w:pPr>
        <w:jc w:val="center"/>
        <w:rPr>
          <w:sz w:val="20"/>
          <w:szCs w:val="20"/>
        </w:rPr>
      </w:pPr>
    </w:p>
    <w:p w14:paraId="08061916">
      <w:pPr>
        <w:jc w:val="center"/>
        <w:rPr>
          <w:sz w:val="20"/>
          <w:szCs w:val="20"/>
        </w:rPr>
      </w:pPr>
    </w:p>
    <w:p w14:paraId="332C3435">
      <w:pPr>
        <w:pStyle w:val="64"/>
        <w:shd w:val="clear" w:color="auto" w:fill="C2E0EB" w:themeFill="accent5" w:themeFillTint="66"/>
        <w:jc w:val="center"/>
        <w:rPr>
          <w:b/>
          <w:bCs/>
          <w:sz w:val="20"/>
          <w:szCs w:val="20"/>
        </w:rPr>
      </w:pPr>
      <w:r>
        <w:rPr>
          <w:b/>
          <w:bCs/>
          <w:sz w:val="20"/>
          <w:szCs w:val="20"/>
        </w:rPr>
        <w:t>Service responsable de la passation du marché :</w:t>
      </w:r>
    </w:p>
    <w:p w14:paraId="41DBB10B">
      <w:pPr>
        <w:pStyle w:val="64"/>
        <w:shd w:val="clear" w:color="auto" w:fill="C2E0EB" w:themeFill="accent5" w:themeFillTint="66"/>
        <w:jc w:val="center"/>
        <w:rPr>
          <w:sz w:val="20"/>
          <w:szCs w:val="20"/>
        </w:rPr>
      </w:pPr>
      <w:r>
        <w:rPr>
          <w:sz w:val="20"/>
          <w:szCs w:val="20"/>
        </w:rPr>
        <w:t>Secrétariat Général</w:t>
      </w:r>
    </w:p>
    <w:p w14:paraId="2423BA08">
      <w:pPr>
        <w:pStyle w:val="64"/>
        <w:shd w:val="clear" w:color="auto" w:fill="C2E0EB" w:themeFill="accent5" w:themeFillTint="66"/>
        <w:jc w:val="center"/>
        <w:rPr>
          <w:sz w:val="20"/>
          <w:szCs w:val="20"/>
        </w:rPr>
      </w:pPr>
      <w:r>
        <w:rPr>
          <w:sz w:val="20"/>
          <w:szCs w:val="20"/>
        </w:rPr>
        <w:t>Service des Achats et des Marchés</w:t>
      </w:r>
    </w:p>
    <w:p w14:paraId="09A47FE1">
      <w:pPr>
        <w:pStyle w:val="64"/>
        <w:shd w:val="clear" w:color="auto" w:fill="C2E0EB" w:themeFill="accent5" w:themeFillTint="66"/>
        <w:jc w:val="center"/>
        <w:rPr>
          <w:sz w:val="20"/>
          <w:szCs w:val="20"/>
        </w:rPr>
      </w:pPr>
      <w:r>
        <w:rPr>
          <w:sz w:val="20"/>
          <w:szCs w:val="20"/>
        </w:rPr>
        <w:t>Département des marchés</w:t>
      </w:r>
    </w:p>
    <w:p w14:paraId="06CA8C58">
      <w:pPr>
        <w:pStyle w:val="64"/>
        <w:shd w:val="clear" w:color="auto" w:fill="C2E0EB" w:themeFill="accent5" w:themeFillTint="66"/>
        <w:jc w:val="center"/>
        <w:rPr>
          <w:sz w:val="20"/>
          <w:szCs w:val="20"/>
        </w:rPr>
      </w:pPr>
      <w:r>
        <w:rPr>
          <w:sz w:val="20"/>
          <w:szCs w:val="20"/>
        </w:rPr>
        <w:t>73 avenue de Paris</w:t>
      </w:r>
    </w:p>
    <w:p w14:paraId="73F8F76D">
      <w:pPr>
        <w:pStyle w:val="64"/>
        <w:shd w:val="clear" w:color="auto" w:fill="C2E0EB" w:themeFill="accent5" w:themeFillTint="66"/>
        <w:jc w:val="center"/>
        <w:rPr>
          <w:sz w:val="20"/>
          <w:szCs w:val="20"/>
        </w:rPr>
      </w:pPr>
      <w:r>
        <w:rPr>
          <w:sz w:val="20"/>
          <w:szCs w:val="20"/>
        </w:rPr>
        <w:t>94165 Saint-Mandé CEDEX</w:t>
      </w:r>
    </w:p>
    <w:p w14:paraId="5E8D31A6">
      <w:pPr>
        <w:rPr>
          <w:sz w:val="20"/>
          <w:szCs w:val="20"/>
        </w:rPr>
      </w:pPr>
    </w:p>
    <w:p w14:paraId="1D34480B">
      <w:pPr>
        <w:rPr>
          <w:sz w:val="20"/>
          <w:szCs w:val="20"/>
        </w:rPr>
      </w:pPr>
    </w:p>
    <w:p w14:paraId="51BF799C">
      <w:pPr>
        <w:rPr>
          <w:sz w:val="20"/>
          <w:szCs w:val="20"/>
        </w:rPr>
      </w:pPr>
    </w:p>
    <w:p w14:paraId="29CD0F0F">
      <w:pPr>
        <w:rPr>
          <w:sz w:val="20"/>
          <w:szCs w:val="20"/>
        </w:rPr>
      </w:pPr>
      <w:r>
        <w:rPr>
          <w:sz w:val="20"/>
          <w:szCs w:val="20"/>
        </w:rPr>
        <w:br w:type="page"/>
      </w:r>
    </w:p>
    <w:p w14:paraId="40A1E3AD">
      <w:pPr>
        <w:pStyle w:val="2"/>
        <w:pageBreakBefore/>
        <w:ind w:left="431" w:hanging="431"/>
        <w:rPr>
          <w:sz w:val="20"/>
          <w:szCs w:val="20"/>
        </w:rPr>
      </w:pPr>
      <w:r>
        <w:rPr>
          <w:sz w:val="20"/>
          <w:szCs w:val="20"/>
        </w:rPr>
        <w:t>IDENTIFICATION DES PARTIES</w:t>
      </w:r>
    </w:p>
    <w:p w14:paraId="04C12612">
      <w:pPr>
        <w:pStyle w:val="3"/>
        <w:rPr>
          <w:sz w:val="20"/>
          <w:szCs w:val="20"/>
        </w:rPr>
      </w:pPr>
      <w:r>
        <w:rPr>
          <w:sz w:val="20"/>
          <w:szCs w:val="20"/>
        </w:rPr>
        <w:t>Désignation de l’acheteur</w:t>
      </w:r>
    </w:p>
    <w:p w14:paraId="1E688A53">
      <w:pPr>
        <w:contextualSpacing/>
        <w:rPr>
          <w:sz w:val="20"/>
          <w:szCs w:val="20"/>
        </w:rPr>
      </w:pPr>
      <w:r>
        <w:rPr>
          <w:sz w:val="20"/>
          <w:szCs w:val="20"/>
        </w:rPr>
        <w:t>Institut national de l’information géographique et forestière (IGN)</w:t>
      </w:r>
    </w:p>
    <w:p w14:paraId="2B8F4315">
      <w:pPr>
        <w:contextualSpacing/>
        <w:rPr>
          <w:sz w:val="20"/>
          <w:szCs w:val="20"/>
        </w:rPr>
      </w:pPr>
      <w:bookmarkStart w:id="2" w:name="_Hlk177469089"/>
      <w:r>
        <w:rPr>
          <w:sz w:val="20"/>
          <w:szCs w:val="20"/>
        </w:rPr>
        <w:t xml:space="preserve">73, avenue de </w:t>
      </w:r>
      <w:r>
        <w:rPr>
          <w:rFonts w:hint="default"/>
          <w:sz w:val="20"/>
          <w:szCs w:val="20"/>
          <w:lang w:val="fr-FR"/>
        </w:rPr>
        <w:t>P</w:t>
      </w:r>
      <w:r>
        <w:rPr>
          <w:sz w:val="20"/>
          <w:szCs w:val="20"/>
        </w:rPr>
        <w:t>aris – 94165 Saint-Mandé</w:t>
      </w:r>
    </w:p>
    <w:bookmarkEnd w:id="2"/>
    <w:p w14:paraId="7EFAC43C">
      <w:pPr>
        <w:contextualSpacing/>
        <w:rPr>
          <w:sz w:val="20"/>
          <w:szCs w:val="20"/>
        </w:rPr>
      </w:pPr>
      <w:r>
        <w:rPr>
          <w:sz w:val="20"/>
          <w:szCs w:val="20"/>
        </w:rPr>
        <w:t xml:space="preserve">Tél. : 01 43 98 82 16 </w:t>
      </w:r>
      <w:bookmarkStart w:id="18" w:name="_GoBack"/>
      <w:bookmarkEnd w:id="18"/>
    </w:p>
    <w:p w14:paraId="75471FB7">
      <w:pPr>
        <w:rPr>
          <w:sz w:val="20"/>
          <w:szCs w:val="20"/>
        </w:rPr>
      </w:pPr>
      <w:r>
        <w:rPr>
          <w:sz w:val="20"/>
          <w:szCs w:val="20"/>
        </w:rPr>
        <w:t xml:space="preserve">Courriel : </w:t>
      </w:r>
      <w:r>
        <w:fldChar w:fldCharType="begin"/>
      </w:r>
      <w:r>
        <w:instrText xml:space="preserve"> HYPERLINK "mailto:marches-publics@ign.fr" </w:instrText>
      </w:r>
      <w:r>
        <w:fldChar w:fldCharType="separate"/>
      </w:r>
      <w:r>
        <w:rPr>
          <w:rStyle w:val="12"/>
          <w:sz w:val="20"/>
          <w:szCs w:val="20"/>
        </w:rPr>
        <w:t>marches-publics@ign.fr</w:t>
      </w:r>
      <w:r>
        <w:rPr>
          <w:rStyle w:val="12"/>
          <w:sz w:val="20"/>
          <w:szCs w:val="20"/>
        </w:rPr>
        <w:fldChar w:fldCharType="end"/>
      </w:r>
    </w:p>
    <w:p w14:paraId="6EAD1077">
      <w:pPr>
        <w:rPr>
          <w:sz w:val="20"/>
          <w:szCs w:val="20"/>
        </w:rPr>
      </w:pPr>
      <w:r>
        <w:rPr>
          <w:sz w:val="20"/>
          <w:szCs w:val="20"/>
        </w:rPr>
        <w:t>Représentant</w:t>
      </w:r>
      <w:r>
        <w:rPr>
          <w:rFonts w:ascii="Calibri" w:hAnsi="Calibri" w:cs="Calibri"/>
          <w:sz w:val="20"/>
          <w:szCs w:val="20"/>
        </w:rPr>
        <w:t> </w:t>
      </w:r>
      <w:r>
        <w:rPr>
          <w:sz w:val="20"/>
          <w:szCs w:val="20"/>
        </w:rPr>
        <w:t>: SORIANO Sébastien, directeur général, nommé par décret du 16</w:t>
      </w:r>
      <w:r>
        <w:rPr>
          <w:rFonts w:ascii="Calibri" w:hAnsi="Calibri" w:cs="Calibri"/>
          <w:sz w:val="20"/>
          <w:szCs w:val="20"/>
        </w:rPr>
        <w:t> </w:t>
      </w:r>
      <w:r>
        <w:rPr>
          <w:sz w:val="20"/>
          <w:szCs w:val="20"/>
        </w:rPr>
        <w:t>décembre 2020 (JORF n° 0304 du 17 décembre 2020)</w:t>
      </w:r>
    </w:p>
    <w:p w14:paraId="4E34AFEB">
      <w:pPr>
        <w:pStyle w:val="3"/>
        <w:rPr>
          <w:sz w:val="20"/>
          <w:szCs w:val="20"/>
        </w:rPr>
      </w:pPr>
      <w:r>
        <w:rPr>
          <w:sz w:val="20"/>
          <w:szCs w:val="20"/>
        </w:rPr>
        <w:t>Identification du titulaire</w:t>
      </w:r>
    </w:p>
    <w:p w14:paraId="7E42F432">
      <w:pPr>
        <w:rPr>
          <w:sz w:val="20"/>
          <w:szCs w:val="20"/>
        </w:rPr>
      </w:pPr>
      <w:r>
        <w:rPr>
          <w:sz w:val="20"/>
          <w:szCs w:val="20"/>
        </w:rPr>
        <w:t>Nom commercial et dénomination sociale de l’unité ou de l’établissement qui exécutera la prestation :</w:t>
      </w:r>
    </w:p>
    <w:p w14:paraId="17E52E1C">
      <w:pPr>
        <w:rPr>
          <w:sz w:val="20"/>
          <w:szCs w:val="20"/>
        </w:rPr>
      </w:pPr>
    </w:p>
    <w:p w14:paraId="4E26A311">
      <w:pPr>
        <w:rPr>
          <w:sz w:val="20"/>
          <w:szCs w:val="20"/>
        </w:rPr>
      </w:pPr>
      <w:r>
        <w:rPr>
          <w:sz w:val="20"/>
          <w:szCs w:val="20"/>
        </w:rPr>
        <w:t>Adresse postale et du siège social (si elle est différente de l’adresse postale) :</w:t>
      </w:r>
    </w:p>
    <w:p w14:paraId="5EDCF9EA">
      <w:pPr>
        <w:rPr>
          <w:sz w:val="20"/>
          <w:szCs w:val="20"/>
        </w:rPr>
      </w:pPr>
      <w:r>
        <w:rPr>
          <w:sz w:val="20"/>
          <w:szCs w:val="20"/>
        </w:rPr>
        <w:t>Adresse électronique :</w:t>
      </w:r>
    </w:p>
    <w:p w14:paraId="6A536ABF">
      <w:pPr>
        <w:rPr>
          <w:sz w:val="20"/>
          <w:szCs w:val="20"/>
        </w:rPr>
      </w:pPr>
      <w:r>
        <w:rPr>
          <w:sz w:val="20"/>
          <w:szCs w:val="20"/>
        </w:rPr>
        <w:t>Numéros de téléphone :</w:t>
      </w:r>
    </w:p>
    <w:p w14:paraId="43AB01B4">
      <w:pPr>
        <w:rPr>
          <w:sz w:val="20"/>
          <w:szCs w:val="20"/>
        </w:rPr>
      </w:pPr>
      <w:r>
        <w:rPr>
          <w:sz w:val="20"/>
          <w:szCs w:val="20"/>
        </w:rPr>
        <w:t>Numéro de SIRET :</w:t>
      </w:r>
    </w:p>
    <w:p w14:paraId="75463A20">
      <w:pPr>
        <w:pStyle w:val="2"/>
        <w:rPr>
          <w:sz w:val="20"/>
          <w:szCs w:val="20"/>
        </w:rPr>
      </w:pPr>
      <w:r>
        <w:rPr>
          <w:sz w:val="20"/>
          <w:szCs w:val="20"/>
        </w:rPr>
        <w:t>OBJET DU MARCHÉ ET ALLOTISSEMENT</w:t>
      </w:r>
    </w:p>
    <w:p w14:paraId="4D4E83FF">
      <w:pPr>
        <w:jc w:val="both"/>
        <w:rPr>
          <w:rFonts w:hint="default"/>
          <w:sz w:val="20"/>
          <w:szCs w:val="20"/>
          <w:lang w:val="fr-FR"/>
        </w:rPr>
      </w:pPr>
      <w:bookmarkStart w:id="3" w:name="_Hlk189126982"/>
      <w:r>
        <w:rPr>
          <w:rFonts w:hint="default"/>
          <w:sz w:val="24"/>
          <w:szCs w:val="24"/>
          <w:lang w:val="fr-FR"/>
        </w:rPr>
        <w:t>I</w:t>
      </w:r>
      <w:r>
        <w:rPr>
          <w:rFonts w:hint="default"/>
          <w:sz w:val="20"/>
          <w:szCs w:val="20"/>
          <w:lang w:val="fr-FR"/>
        </w:rPr>
        <w:t>l s’agit d’un marché de formation informatique concernant l’utilisation avancée de Figma design et Dev Mode pour designers.</w:t>
      </w:r>
    </w:p>
    <w:bookmarkEnd w:id="3"/>
    <w:p w14:paraId="2DA5B57E">
      <w:pPr>
        <w:pStyle w:val="2"/>
        <w:numPr>
          <w:ilvl w:val="0"/>
          <w:numId w:val="0"/>
        </w:numPr>
        <w:spacing w:before="0" w:after="0"/>
        <w:ind w:leftChars="0"/>
        <w:rPr>
          <w:sz w:val="20"/>
          <w:szCs w:val="20"/>
        </w:rPr>
      </w:pPr>
      <w:bookmarkStart w:id="4" w:name="_Hlk178342406"/>
    </w:p>
    <w:p w14:paraId="5BDBB7CC">
      <w:pPr>
        <w:pStyle w:val="2"/>
        <w:spacing w:before="0" w:after="0"/>
        <w:rPr>
          <w:sz w:val="20"/>
          <w:szCs w:val="20"/>
        </w:rPr>
      </w:pPr>
      <w:r>
        <w:rPr>
          <w:sz w:val="20"/>
          <w:szCs w:val="20"/>
        </w:rPr>
        <w:t xml:space="preserve">DISPOSITIONS TECHNIQUES </w:t>
      </w:r>
      <w:bookmarkEnd w:id="4"/>
    </w:p>
    <w:p w14:paraId="5FA46FDC">
      <w:pPr>
        <w:pStyle w:val="3"/>
        <w:numPr>
          <w:ilvl w:val="0"/>
          <w:numId w:val="0"/>
        </w:numPr>
        <w:spacing w:before="0" w:after="0"/>
        <w:ind w:left="578"/>
        <w:rPr>
          <w:sz w:val="20"/>
          <w:szCs w:val="20"/>
        </w:rPr>
      </w:pPr>
      <w:bookmarkStart w:id="5" w:name="_Hlk182991395"/>
    </w:p>
    <w:p w14:paraId="62A05287">
      <w:pPr>
        <w:pStyle w:val="3"/>
        <w:spacing w:before="0" w:after="0"/>
        <w:ind w:left="578" w:hanging="578"/>
        <w:rPr>
          <w:sz w:val="20"/>
          <w:szCs w:val="20"/>
        </w:rPr>
      </w:pPr>
      <w:r>
        <w:rPr>
          <w:rFonts w:hint="default"/>
          <w:sz w:val="20"/>
          <w:szCs w:val="20"/>
          <w:lang w:val="fr-FR"/>
        </w:rPr>
        <w:t>Besoins à satisfaire</w:t>
      </w:r>
      <w:bookmarkEnd w:id="5"/>
    </w:p>
    <w:p w14:paraId="1B09F870">
      <w:pPr>
        <w:jc w:val="both"/>
        <w:rPr>
          <w:rFonts w:hint="default"/>
          <w:sz w:val="20"/>
          <w:szCs w:val="20"/>
          <w:lang w:val="fr-FR"/>
        </w:rPr>
      </w:pPr>
      <w:r>
        <w:rPr>
          <w:rFonts w:hint="default"/>
          <w:sz w:val="20"/>
          <w:szCs w:val="20"/>
          <w:lang w:val="fr-FR"/>
        </w:rPr>
        <w:t>Renforcer la maîtrise de la création et gestion de design systèmes basés sur des tokens, la structuration de bibliothèques de composants complexes, ainsi que leur intégration avec Github et Claude Code.</w:t>
      </w:r>
    </w:p>
    <w:p w14:paraId="04930437">
      <w:pPr>
        <w:pStyle w:val="3"/>
        <w:spacing w:before="0" w:after="0"/>
        <w:ind w:left="578" w:hanging="578"/>
        <w:rPr>
          <w:rFonts w:hint="default"/>
          <w:sz w:val="20"/>
          <w:szCs w:val="20"/>
          <w:lang w:val="fr-FR"/>
        </w:rPr>
      </w:pPr>
      <w:r>
        <w:rPr>
          <w:sz w:val="20"/>
          <w:szCs w:val="20"/>
        </w:rPr>
        <w:t>Objectifs attendus de</w:t>
      </w:r>
      <w:r>
        <w:rPr>
          <w:rFonts w:hint="default"/>
          <w:sz w:val="20"/>
          <w:szCs w:val="20"/>
          <w:lang w:val="fr-FR"/>
        </w:rPr>
        <w:t xml:space="preserve"> la </w:t>
      </w:r>
      <w:r>
        <w:rPr>
          <w:sz w:val="20"/>
          <w:szCs w:val="20"/>
        </w:rPr>
        <w:t>formation</w:t>
      </w:r>
    </w:p>
    <w:p w14:paraId="30FBE261">
      <w:pPr>
        <w:pStyle w:val="3"/>
        <w:numPr>
          <w:ilvl w:val="1"/>
          <w:numId w:val="0"/>
        </w:numPr>
        <w:spacing w:before="0" w:after="0"/>
        <w:ind w:leftChars="0"/>
        <w:rPr>
          <w:sz w:val="20"/>
          <w:szCs w:val="20"/>
        </w:rPr>
      </w:pPr>
    </w:p>
    <w:p w14:paraId="441E2139">
      <w:pPr>
        <w:jc w:val="both"/>
        <w:rPr>
          <w:rFonts w:hint="default" w:ascii="Marianne" w:hAnsi="Marianne" w:cs="Marianne"/>
          <w:sz w:val="20"/>
          <w:szCs w:val="20"/>
        </w:rPr>
      </w:pPr>
      <w:r>
        <w:rPr>
          <w:rFonts w:hint="default" w:ascii="Marianne" w:hAnsi="Marianne" w:cs="Marianne"/>
          <w:sz w:val="20"/>
          <w:szCs w:val="20"/>
        </w:rPr>
        <w:t>A l’issue de la formation, les participants seront en mesure de :</w:t>
      </w:r>
    </w:p>
    <w:p w14:paraId="00F69721">
      <w:pPr>
        <w:numPr>
          <w:ilvl w:val="0"/>
          <w:numId w:val="8"/>
        </w:numPr>
        <w:jc w:val="both"/>
        <w:rPr>
          <w:rFonts w:hint="default" w:ascii="Marianne" w:hAnsi="Marianne" w:cs="Marianne"/>
          <w:sz w:val="20"/>
          <w:szCs w:val="20"/>
        </w:rPr>
      </w:pPr>
      <w:r>
        <w:rPr>
          <w:rFonts w:hint="default" w:ascii="Marianne" w:hAnsi="Marianne" w:cs="Marianne"/>
          <w:sz w:val="20"/>
          <w:szCs w:val="20"/>
        </w:rPr>
        <w:t>Créer et gérer un design système à partir de tokens et variables</w:t>
      </w:r>
    </w:p>
    <w:p w14:paraId="6A2640DA">
      <w:pPr>
        <w:numPr>
          <w:ilvl w:val="0"/>
          <w:numId w:val="8"/>
        </w:numPr>
        <w:jc w:val="both"/>
        <w:rPr>
          <w:rFonts w:hint="default" w:ascii="Marianne" w:hAnsi="Marianne" w:cs="Marianne"/>
          <w:sz w:val="20"/>
          <w:szCs w:val="20"/>
        </w:rPr>
      </w:pPr>
      <w:r>
        <w:rPr>
          <w:rFonts w:hint="default" w:ascii="Marianne" w:hAnsi="Marianne" w:cs="Marianne"/>
          <w:sz w:val="20"/>
          <w:szCs w:val="20"/>
        </w:rPr>
        <w:t>Créer et gérer une bibliothèque de composants complexes</w:t>
      </w:r>
    </w:p>
    <w:p w14:paraId="71A32D40">
      <w:pPr>
        <w:numPr>
          <w:ilvl w:val="0"/>
          <w:numId w:val="8"/>
        </w:numPr>
        <w:jc w:val="both"/>
        <w:rPr>
          <w:rFonts w:hint="default" w:ascii="Marianne" w:hAnsi="Marianne" w:cs="Marianne"/>
          <w:sz w:val="20"/>
          <w:szCs w:val="20"/>
        </w:rPr>
      </w:pPr>
      <w:r>
        <w:rPr>
          <w:rFonts w:hint="default" w:ascii="Marianne" w:hAnsi="Marianne" w:cs="Marianne"/>
          <w:sz w:val="20"/>
          <w:szCs w:val="20"/>
        </w:rPr>
        <w:t>Lier un design système à une bibliothèque et des projets Github</w:t>
      </w:r>
    </w:p>
    <w:p w14:paraId="31B5291D">
      <w:pPr>
        <w:numPr>
          <w:ilvl w:val="0"/>
          <w:numId w:val="8"/>
        </w:numPr>
        <w:jc w:val="both"/>
        <w:rPr>
          <w:rFonts w:hint="default" w:ascii="Marianne" w:hAnsi="Marianne" w:cs="Marianne"/>
          <w:sz w:val="20"/>
          <w:szCs w:val="20"/>
        </w:rPr>
      </w:pPr>
      <w:r>
        <w:rPr>
          <w:rFonts w:hint="default" w:ascii="Marianne" w:hAnsi="Marianne" w:cs="Marianne"/>
          <w:sz w:val="20"/>
          <w:szCs w:val="20"/>
        </w:rPr>
        <w:t>Lier et utiliser le design système et les maquettes associées dans Claude Code</w:t>
      </w:r>
    </w:p>
    <w:p w14:paraId="76AD18CD">
      <w:pPr>
        <w:numPr>
          <w:ilvl w:val="0"/>
          <w:numId w:val="8"/>
        </w:numPr>
        <w:jc w:val="both"/>
        <w:rPr>
          <w:rFonts w:hint="default" w:ascii="Marianne" w:hAnsi="Marianne" w:cs="Marianne"/>
          <w:sz w:val="20"/>
          <w:szCs w:val="20"/>
        </w:rPr>
      </w:pPr>
      <w:r>
        <w:rPr>
          <w:rFonts w:hint="default" w:ascii="Marianne" w:hAnsi="Marianne" w:cs="Marianne"/>
          <w:sz w:val="20"/>
          <w:szCs w:val="20"/>
        </w:rPr>
        <w:t xml:space="preserve">Optimiser les fichiers pour le </w:t>
      </w:r>
      <w:r>
        <w:rPr>
          <w:rFonts w:hint="default" w:cs="Marianne"/>
          <w:sz w:val="20"/>
          <w:szCs w:val="20"/>
          <w:lang w:val="fr-FR"/>
        </w:rPr>
        <w:t>D</w:t>
      </w:r>
      <w:r>
        <w:rPr>
          <w:rFonts w:hint="default" w:ascii="Marianne" w:hAnsi="Marianne" w:cs="Marianne"/>
          <w:sz w:val="20"/>
          <w:szCs w:val="20"/>
        </w:rPr>
        <w:t xml:space="preserve">ev </w:t>
      </w:r>
      <w:r>
        <w:rPr>
          <w:rFonts w:hint="default" w:cs="Marianne"/>
          <w:sz w:val="20"/>
          <w:szCs w:val="20"/>
          <w:lang w:val="fr-FR"/>
        </w:rPr>
        <w:t>M</w:t>
      </w:r>
      <w:r>
        <w:rPr>
          <w:rFonts w:hint="default" w:ascii="Marianne" w:hAnsi="Marianne" w:cs="Marianne"/>
          <w:sz w:val="20"/>
          <w:szCs w:val="20"/>
        </w:rPr>
        <w:t>ode et les développeurs</w:t>
      </w:r>
    </w:p>
    <w:p w14:paraId="56925DD5">
      <w:pPr>
        <w:numPr>
          <w:ilvl w:val="0"/>
          <w:numId w:val="8"/>
        </w:numPr>
        <w:jc w:val="both"/>
        <w:rPr>
          <w:rFonts w:hint="default" w:ascii="Marianne" w:hAnsi="Marianne" w:cs="Marianne"/>
          <w:sz w:val="20"/>
          <w:szCs w:val="20"/>
        </w:rPr>
      </w:pPr>
      <w:r>
        <w:rPr>
          <w:rFonts w:hint="default" w:ascii="Marianne" w:hAnsi="Marianne" w:cs="Marianne"/>
          <w:sz w:val="20"/>
          <w:szCs w:val="20"/>
        </w:rPr>
        <w:t xml:space="preserve">Optimiser les temps et les processus de design </w:t>
      </w:r>
    </w:p>
    <w:p w14:paraId="43E91D2A">
      <w:pPr>
        <w:numPr>
          <w:ilvl w:val="0"/>
          <w:numId w:val="8"/>
        </w:numPr>
        <w:jc w:val="both"/>
        <w:rPr>
          <w:rFonts w:hint="default" w:ascii="Marianne" w:hAnsi="Marianne" w:cs="Marianne"/>
          <w:sz w:val="20"/>
          <w:szCs w:val="20"/>
        </w:rPr>
      </w:pPr>
      <w:r>
        <w:rPr>
          <w:rFonts w:hint="default" w:ascii="Marianne" w:hAnsi="Marianne" w:cs="Marianne"/>
          <w:sz w:val="20"/>
          <w:szCs w:val="20"/>
        </w:rPr>
        <w:t>Connaître les dernières fonctionnalités, plug-ins et bonnes pratiques pour le prototypage</w:t>
      </w:r>
    </w:p>
    <w:p w14:paraId="516911B5">
      <w:pPr>
        <w:rPr>
          <w:rFonts w:hint="default" w:ascii="Marianne" w:hAnsi="Marianne" w:cs="Marianne"/>
          <w:sz w:val="20"/>
          <w:szCs w:val="20"/>
        </w:rPr>
      </w:pPr>
      <w:r>
        <w:rPr>
          <w:rFonts w:hint="default" w:ascii="Marianne" w:hAnsi="Marianne" w:cs="Marianne"/>
          <w:sz w:val="20"/>
          <w:szCs w:val="20"/>
        </w:rPr>
        <w:br w:type="page"/>
      </w:r>
    </w:p>
    <w:p w14:paraId="1F498326">
      <w:pPr>
        <w:numPr>
          <w:ilvl w:val="0"/>
          <w:numId w:val="0"/>
        </w:numPr>
        <w:ind w:left="360" w:leftChars="0"/>
        <w:jc w:val="both"/>
        <w:rPr>
          <w:rFonts w:hint="default" w:ascii="Marianne" w:hAnsi="Marianne" w:cs="Marianne"/>
          <w:sz w:val="20"/>
          <w:szCs w:val="20"/>
        </w:rPr>
      </w:pPr>
    </w:p>
    <w:p w14:paraId="36AA5881">
      <w:pPr>
        <w:pStyle w:val="3"/>
        <w:numPr>
          <w:ilvl w:val="1"/>
          <w:numId w:val="0"/>
        </w:numPr>
        <w:spacing w:before="0" w:after="0"/>
        <w:ind w:leftChars="0"/>
        <w:rPr>
          <w:sz w:val="20"/>
          <w:szCs w:val="20"/>
        </w:rPr>
      </w:pPr>
      <w:r>
        <w:rPr>
          <w:sz w:val="20"/>
          <w:szCs w:val="20"/>
        </w:rPr>
        <w:t>Objectifs opérationnels</w:t>
      </w:r>
      <w:r>
        <w:rPr>
          <w:rFonts w:ascii="Calibri" w:hAnsi="Calibri" w:cs="Calibri"/>
          <w:sz w:val="20"/>
          <w:szCs w:val="20"/>
        </w:rPr>
        <w:t> </w:t>
      </w:r>
      <w:r>
        <w:rPr>
          <w:sz w:val="20"/>
          <w:szCs w:val="20"/>
        </w:rPr>
        <w:t>:</w:t>
      </w:r>
    </w:p>
    <w:p w14:paraId="38C78DE9">
      <w:pPr>
        <w:rPr>
          <w:rFonts w:hint="default"/>
          <w:sz w:val="20"/>
          <w:szCs w:val="20"/>
          <w:lang w:val="fr-FR"/>
        </w:rPr>
      </w:pPr>
      <w:r>
        <w:rPr>
          <w:rFonts w:hint="default"/>
          <w:sz w:val="20"/>
          <w:szCs w:val="20"/>
          <w:lang w:val="fr-FR"/>
        </w:rPr>
        <w:t>Cette formation devra a minima aborder les 3 domaines suivants :</w:t>
      </w:r>
    </w:p>
    <w:p w14:paraId="768B9378">
      <w:pPr>
        <w:jc w:val="both"/>
        <w:rPr>
          <w:rFonts w:hint="default" w:ascii="Marianne" w:hAnsi="Marianne" w:cs="Marianne"/>
          <w:bCs/>
          <w:sz w:val="20"/>
          <w:szCs w:val="20"/>
        </w:rPr>
      </w:pPr>
      <w:r>
        <w:rPr>
          <w:rFonts w:hint="default" w:cs="Marianne"/>
          <w:bCs/>
          <w:sz w:val="20"/>
          <w:szCs w:val="20"/>
          <w:lang w:val="fr-FR"/>
        </w:rPr>
        <w:t xml:space="preserve">Module </w:t>
      </w:r>
      <w:r>
        <w:rPr>
          <w:rFonts w:hint="default" w:ascii="Marianne" w:hAnsi="Marianne" w:cs="Marianne"/>
          <w:bCs/>
          <w:sz w:val="20"/>
          <w:szCs w:val="20"/>
        </w:rPr>
        <w:t xml:space="preserve">1 : Design systèmes </w:t>
      </w:r>
    </w:p>
    <w:p w14:paraId="58F2DCAA">
      <w:pPr>
        <w:numPr>
          <w:ilvl w:val="0"/>
          <w:numId w:val="8"/>
        </w:numPr>
        <w:jc w:val="both"/>
        <w:rPr>
          <w:rFonts w:hint="default" w:ascii="Marianne" w:hAnsi="Marianne" w:cs="Marianne"/>
          <w:sz w:val="20"/>
          <w:szCs w:val="20"/>
        </w:rPr>
      </w:pPr>
      <w:r>
        <w:rPr>
          <w:rFonts w:hint="default" w:ascii="Marianne" w:hAnsi="Marianne" w:cs="Marianne"/>
          <w:sz w:val="20"/>
          <w:szCs w:val="20"/>
        </w:rPr>
        <w:t xml:space="preserve">Créer et gérer un design système à partir de tokens </w:t>
      </w:r>
    </w:p>
    <w:p w14:paraId="78085BC4">
      <w:pPr>
        <w:numPr>
          <w:ilvl w:val="0"/>
          <w:numId w:val="8"/>
        </w:numPr>
        <w:jc w:val="both"/>
        <w:rPr>
          <w:rFonts w:hint="default" w:ascii="Marianne" w:hAnsi="Marianne" w:cs="Marianne"/>
          <w:sz w:val="20"/>
          <w:szCs w:val="20"/>
        </w:rPr>
      </w:pPr>
      <w:r>
        <w:rPr>
          <w:rFonts w:hint="default" w:ascii="Marianne" w:hAnsi="Marianne" w:cs="Marianne"/>
          <w:sz w:val="20"/>
          <w:szCs w:val="20"/>
        </w:rPr>
        <w:t>Créer et gérer une bibliothèque de composants complexes</w:t>
      </w:r>
    </w:p>
    <w:p w14:paraId="50294FEC">
      <w:pPr>
        <w:numPr>
          <w:ilvl w:val="0"/>
          <w:numId w:val="8"/>
        </w:numPr>
        <w:jc w:val="both"/>
        <w:rPr>
          <w:rFonts w:hint="default" w:ascii="Marianne" w:hAnsi="Marianne" w:cs="Marianne"/>
          <w:sz w:val="20"/>
          <w:szCs w:val="20"/>
        </w:rPr>
      </w:pPr>
      <w:r>
        <w:rPr>
          <w:rFonts w:hint="default" w:ascii="Marianne" w:hAnsi="Marianne" w:cs="Marianne"/>
          <w:sz w:val="20"/>
          <w:szCs w:val="20"/>
        </w:rPr>
        <w:t>Connaître les dernières fonctionnalités, plug-ins et bonnes pratiques pour le prototypage</w:t>
      </w:r>
    </w:p>
    <w:p w14:paraId="3EACA63C">
      <w:pPr>
        <w:jc w:val="both"/>
        <w:rPr>
          <w:rFonts w:hint="default" w:ascii="Marianne" w:hAnsi="Marianne" w:cs="Marianne"/>
          <w:sz w:val="20"/>
          <w:szCs w:val="20"/>
        </w:rPr>
      </w:pPr>
      <w:r>
        <w:rPr>
          <w:rFonts w:hint="default" w:cs="Marianne"/>
          <w:sz w:val="20"/>
          <w:szCs w:val="20"/>
          <w:lang w:val="fr-FR"/>
        </w:rPr>
        <w:t xml:space="preserve">Module </w:t>
      </w:r>
      <w:r>
        <w:rPr>
          <w:rFonts w:hint="default" w:ascii="Marianne" w:hAnsi="Marianne" w:cs="Marianne"/>
          <w:sz w:val="20"/>
          <w:szCs w:val="20"/>
        </w:rPr>
        <w:t>2 : Design et développement</w:t>
      </w:r>
    </w:p>
    <w:p w14:paraId="65B1A465">
      <w:pPr>
        <w:numPr>
          <w:ilvl w:val="0"/>
          <w:numId w:val="8"/>
        </w:numPr>
        <w:jc w:val="both"/>
        <w:rPr>
          <w:rFonts w:hint="default" w:ascii="Marianne" w:hAnsi="Marianne" w:cs="Marianne"/>
          <w:sz w:val="20"/>
          <w:szCs w:val="20"/>
        </w:rPr>
      </w:pPr>
      <w:r>
        <w:rPr>
          <w:rFonts w:hint="default" w:ascii="Marianne" w:hAnsi="Marianne" w:cs="Marianne"/>
          <w:sz w:val="20"/>
          <w:szCs w:val="20"/>
        </w:rPr>
        <w:t xml:space="preserve">Optimiser les fichiers pour le </w:t>
      </w:r>
      <w:r>
        <w:rPr>
          <w:rFonts w:hint="default" w:cs="Marianne"/>
          <w:sz w:val="20"/>
          <w:szCs w:val="20"/>
          <w:lang w:val="fr-FR"/>
        </w:rPr>
        <w:t>Dev</w:t>
      </w:r>
      <w:r>
        <w:rPr>
          <w:rFonts w:hint="default" w:ascii="Marianne" w:hAnsi="Marianne" w:cs="Marianne"/>
          <w:sz w:val="20"/>
          <w:szCs w:val="20"/>
        </w:rPr>
        <w:t xml:space="preserve"> </w:t>
      </w:r>
      <w:r>
        <w:rPr>
          <w:rFonts w:hint="default" w:cs="Marianne"/>
          <w:sz w:val="20"/>
          <w:szCs w:val="20"/>
          <w:lang w:val="fr-FR"/>
        </w:rPr>
        <w:t>M</w:t>
      </w:r>
      <w:r>
        <w:rPr>
          <w:rFonts w:hint="default" w:ascii="Marianne" w:hAnsi="Marianne" w:cs="Marianne"/>
          <w:sz w:val="20"/>
          <w:szCs w:val="20"/>
        </w:rPr>
        <w:t>ode et les développeurs</w:t>
      </w:r>
    </w:p>
    <w:p w14:paraId="4D1D4808">
      <w:pPr>
        <w:numPr>
          <w:ilvl w:val="0"/>
          <w:numId w:val="8"/>
        </w:numPr>
        <w:jc w:val="both"/>
        <w:rPr>
          <w:rFonts w:hint="default" w:ascii="Marianne" w:hAnsi="Marianne" w:cs="Marianne"/>
          <w:sz w:val="20"/>
          <w:szCs w:val="20"/>
        </w:rPr>
      </w:pPr>
      <w:r>
        <w:rPr>
          <w:rFonts w:hint="default" w:ascii="Marianne" w:hAnsi="Marianne" w:cs="Marianne"/>
          <w:sz w:val="20"/>
          <w:szCs w:val="20"/>
        </w:rPr>
        <w:t xml:space="preserve">Lier un design système à une bibliothèque et des projets Github </w:t>
      </w:r>
    </w:p>
    <w:p w14:paraId="324EA874">
      <w:pPr>
        <w:numPr>
          <w:ilvl w:val="0"/>
          <w:numId w:val="8"/>
        </w:numPr>
        <w:jc w:val="both"/>
        <w:rPr>
          <w:rFonts w:hint="default" w:ascii="Marianne" w:hAnsi="Marianne" w:cs="Marianne"/>
          <w:sz w:val="20"/>
          <w:szCs w:val="20"/>
        </w:rPr>
      </w:pPr>
      <w:r>
        <w:rPr>
          <w:rFonts w:hint="default" w:ascii="Marianne" w:hAnsi="Marianne" w:cs="Marianne"/>
          <w:sz w:val="20"/>
          <w:szCs w:val="20"/>
        </w:rPr>
        <w:t>Optimiser les temps et les processus entre design et développement</w:t>
      </w:r>
    </w:p>
    <w:p w14:paraId="48D09504">
      <w:pPr>
        <w:jc w:val="both"/>
        <w:rPr>
          <w:rFonts w:hint="default" w:ascii="Marianne" w:hAnsi="Marianne" w:cs="Marianne"/>
          <w:bCs/>
          <w:sz w:val="20"/>
          <w:szCs w:val="20"/>
        </w:rPr>
      </w:pPr>
      <w:r>
        <w:rPr>
          <w:rFonts w:hint="default" w:cs="Marianne"/>
          <w:bCs/>
          <w:sz w:val="20"/>
          <w:szCs w:val="20"/>
          <w:lang w:val="fr-FR"/>
        </w:rPr>
        <w:t xml:space="preserve">Module </w:t>
      </w:r>
      <w:r>
        <w:rPr>
          <w:rFonts w:hint="default" w:ascii="Marianne" w:hAnsi="Marianne" w:cs="Marianne"/>
          <w:bCs/>
          <w:sz w:val="20"/>
          <w:szCs w:val="20"/>
        </w:rPr>
        <w:t>3 : Design et IA</w:t>
      </w:r>
    </w:p>
    <w:p w14:paraId="0B0D678F">
      <w:pPr>
        <w:numPr>
          <w:ilvl w:val="0"/>
          <w:numId w:val="9"/>
        </w:numPr>
        <w:jc w:val="both"/>
        <w:rPr>
          <w:rFonts w:hint="default" w:ascii="Marianne" w:hAnsi="Marianne" w:cs="Marianne"/>
          <w:sz w:val="20"/>
          <w:szCs w:val="20"/>
        </w:rPr>
      </w:pPr>
      <w:r>
        <w:rPr>
          <w:rFonts w:hint="default" w:ascii="Marianne" w:hAnsi="Marianne" w:cs="Marianne"/>
          <w:sz w:val="20"/>
          <w:szCs w:val="20"/>
        </w:rPr>
        <w:t xml:space="preserve">Cas d’usage concrets de l’IA dans le design system (génération, documentation, QA, automatisation) </w:t>
      </w:r>
    </w:p>
    <w:p w14:paraId="21FD2B00">
      <w:pPr>
        <w:pStyle w:val="18"/>
        <w:numPr>
          <w:ilvl w:val="0"/>
          <w:numId w:val="9"/>
        </w:numPr>
        <w:spacing w:line="300" w:lineRule="atLeast"/>
        <w:rPr>
          <w:rFonts w:hint="default" w:ascii="Marianne" w:hAnsi="Marianne" w:cs="Marianne"/>
          <w:sz w:val="20"/>
          <w:szCs w:val="20"/>
        </w:rPr>
      </w:pPr>
      <w:r>
        <w:rPr>
          <w:rFonts w:hint="default" w:ascii="Marianne" w:hAnsi="Marianne" w:cs="Marianne"/>
          <w:sz w:val="20"/>
          <w:szCs w:val="20"/>
        </w:rPr>
        <w:t xml:space="preserve">Lier et utiliser le design système et les maquettes associées dans Claude Code et mettre en place les bons workflows </w:t>
      </w:r>
    </w:p>
    <w:p w14:paraId="2628674C">
      <w:pPr>
        <w:pStyle w:val="18"/>
        <w:numPr>
          <w:ilvl w:val="0"/>
          <w:numId w:val="8"/>
        </w:numPr>
        <w:spacing w:line="300" w:lineRule="atLeast"/>
        <w:rPr>
          <w:rFonts w:hint="default" w:ascii="Marianne" w:hAnsi="Marianne" w:cs="Marianne"/>
          <w:sz w:val="20"/>
          <w:szCs w:val="20"/>
        </w:rPr>
      </w:pPr>
      <w:r>
        <w:rPr>
          <w:rFonts w:hint="default" w:ascii="Marianne" w:hAnsi="Marianne" w:cs="Marianne"/>
          <w:sz w:val="20"/>
          <w:szCs w:val="20"/>
        </w:rPr>
        <w:t>Optimiser les temps et les processus de design grâce à l’IA</w:t>
      </w:r>
    </w:p>
    <w:p w14:paraId="47E8E67D">
      <w:pPr>
        <w:pStyle w:val="3"/>
        <w:rPr>
          <w:sz w:val="20"/>
          <w:szCs w:val="20"/>
        </w:rPr>
      </w:pPr>
      <w:bookmarkStart w:id="6" w:name="_Hlk184984198"/>
      <w:r>
        <w:rPr>
          <w:sz w:val="20"/>
          <w:szCs w:val="20"/>
        </w:rPr>
        <w:t>Public cible de la formation</w:t>
      </w:r>
    </w:p>
    <w:p w14:paraId="7368C3D3">
      <w:pPr>
        <w:rPr>
          <w:rFonts w:hint="default"/>
          <w:sz w:val="20"/>
          <w:szCs w:val="20"/>
          <w:lang w:val="fr-FR"/>
        </w:rPr>
      </w:pPr>
      <w:r>
        <w:rPr>
          <w:rFonts w:hint="default"/>
          <w:sz w:val="20"/>
          <w:szCs w:val="20"/>
          <w:lang w:val="fr-FR"/>
        </w:rPr>
        <w:t>UX/UI designers</w:t>
      </w:r>
    </w:p>
    <w:bookmarkEnd w:id="6"/>
    <w:p w14:paraId="06226D01">
      <w:pPr>
        <w:spacing w:before="0"/>
        <w:rPr>
          <w:b/>
          <w:bCs/>
          <w:color w:val="3891AF" w:themeColor="accent5" w:themeShade="BF"/>
          <w:sz w:val="20"/>
          <w:szCs w:val="20"/>
          <w:highlight w:val="none"/>
        </w:rPr>
      </w:pPr>
      <w:r>
        <w:rPr>
          <w:b/>
          <w:bCs/>
          <w:color w:val="3891AF" w:themeColor="accent5" w:themeShade="BF"/>
          <w:sz w:val="20"/>
          <w:szCs w:val="20"/>
          <w:highlight w:val="none"/>
        </w:rPr>
        <w:t>Période souhaitée</w:t>
      </w:r>
      <w:r>
        <w:rPr>
          <w:rFonts w:ascii="Calibri" w:hAnsi="Calibri" w:cs="Calibri"/>
          <w:b/>
          <w:bCs/>
          <w:color w:val="3891AF" w:themeColor="accent5" w:themeShade="BF"/>
          <w:sz w:val="20"/>
          <w:szCs w:val="20"/>
          <w:highlight w:val="none"/>
        </w:rPr>
        <w:t> </w:t>
      </w:r>
      <w:r>
        <w:rPr>
          <w:b/>
          <w:bCs/>
          <w:color w:val="3891AF" w:themeColor="accent5" w:themeShade="BF"/>
          <w:sz w:val="20"/>
          <w:szCs w:val="20"/>
          <w:highlight w:val="none"/>
        </w:rPr>
        <w:t xml:space="preserve">: </w:t>
      </w:r>
    </w:p>
    <w:p w14:paraId="2F0BA8E6">
      <w:pPr>
        <w:rPr>
          <w:b w:val="0"/>
          <w:bCs w:val="0"/>
          <w:iCs/>
          <w:sz w:val="20"/>
          <w:szCs w:val="20"/>
          <w:highlight w:val="none"/>
        </w:rPr>
      </w:pPr>
      <w:r>
        <w:rPr>
          <w:rFonts w:hint="default"/>
          <w:b w:val="0"/>
          <w:bCs w:val="0"/>
          <w:iCs/>
          <w:sz w:val="20"/>
          <w:szCs w:val="20"/>
          <w:highlight w:val="none"/>
          <w:lang w:val="fr-FR"/>
        </w:rPr>
        <w:t>Au cours du 4ème trimes</w:t>
      </w:r>
      <w:r>
        <w:rPr>
          <w:b w:val="0"/>
          <w:bCs w:val="0"/>
          <w:iCs/>
          <w:sz w:val="20"/>
          <w:szCs w:val="20"/>
          <w:highlight w:val="none"/>
        </w:rPr>
        <w:t>tre 202</w:t>
      </w:r>
      <w:r>
        <w:rPr>
          <w:rFonts w:hint="default"/>
          <w:b w:val="0"/>
          <w:bCs w:val="0"/>
          <w:iCs/>
          <w:sz w:val="20"/>
          <w:szCs w:val="20"/>
          <w:highlight w:val="none"/>
          <w:lang w:val="fr-FR"/>
        </w:rPr>
        <w:t>6, préférentiellement en octobre ou novembre</w:t>
      </w:r>
      <w:r>
        <w:rPr>
          <w:b w:val="0"/>
          <w:bCs w:val="0"/>
          <w:iCs/>
          <w:sz w:val="20"/>
          <w:szCs w:val="20"/>
          <w:highlight w:val="none"/>
        </w:rPr>
        <w:t xml:space="preserve">. </w:t>
      </w:r>
    </w:p>
    <w:p w14:paraId="32CAF0F8">
      <w:pPr>
        <w:rPr>
          <w:b/>
          <w:bCs/>
          <w:color w:val="3891AF" w:themeColor="accent5" w:themeShade="BF"/>
          <w:sz w:val="20"/>
          <w:szCs w:val="20"/>
          <w:highlight w:val="none"/>
        </w:rPr>
      </w:pPr>
      <w:r>
        <w:rPr>
          <w:b/>
          <w:bCs/>
          <w:color w:val="3891AF" w:themeColor="accent5" w:themeShade="BF"/>
          <w:sz w:val="20"/>
          <w:szCs w:val="20"/>
          <w:highlight w:val="none"/>
        </w:rPr>
        <w:t>Lieu (en présentiel)</w:t>
      </w:r>
      <w:r>
        <w:rPr>
          <w:rFonts w:ascii="Calibri" w:hAnsi="Calibri" w:cs="Calibri"/>
          <w:b/>
          <w:bCs/>
          <w:color w:val="3891AF" w:themeColor="accent5" w:themeShade="BF"/>
          <w:sz w:val="20"/>
          <w:szCs w:val="20"/>
          <w:highlight w:val="none"/>
        </w:rPr>
        <w:t> </w:t>
      </w:r>
      <w:r>
        <w:rPr>
          <w:b/>
          <w:bCs/>
          <w:color w:val="3891AF" w:themeColor="accent5" w:themeShade="BF"/>
          <w:sz w:val="20"/>
          <w:szCs w:val="20"/>
          <w:highlight w:val="none"/>
        </w:rPr>
        <w:t xml:space="preserve">: </w:t>
      </w:r>
    </w:p>
    <w:p w14:paraId="6D70412A">
      <w:pPr>
        <w:numPr>
          <w:ilvl w:val="0"/>
          <w:numId w:val="0"/>
        </w:numPr>
        <w:spacing w:before="0"/>
        <w:ind w:left="420" w:leftChars="0" w:hanging="420" w:firstLineChars="0"/>
        <w:rPr>
          <w:rFonts w:hint="default"/>
          <w:b/>
          <w:bCs/>
          <w:color w:val="3891AF" w:themeColor="accent5" w:themeShade="BF"/>
          <w:sz w:val="20"/>
          <w:szCs w:val="20"/>
          <w:highlight w:val="none"/>
          <w:lang w:val="fr-FR"/>
        </w:rPr>
      </w:pPr>
      <w:r>
        <w:rPr>
          <w:rFonts w:hint="default" w:ascii="Wingdings" w:hAnsi="Wingdings" w:eastAsiaTheme="minorHAnsi" w:cstheme="minorBidi"/>
          <w:b/>
          <w:bCs/>
          <w:color w:val="3891AF" w:themeColor="accent5" w:themeShade="BF"/>
          <w:sz w:val="20"/>
          <w:szCs w:val="20"/>
          <w:lang w:val="fr-FR" w:eastAsia="en-US" w:bidi="ar-SA"/>
        </w:rPr>
        <w:t></w:t>
      </w:r>
      <w:r>
        <w:rPr>
          <w:rFonts w:hint="default" w:ascii="Wingdings" w:hAnsi="Wingdings" w:cstheme="minorBidi"/>
          <w:b/>
          <w:bCs/>
          <w:color w:val="3891AF" w:themeColor="accent5" w:themeShade="BF"/>
          <w:sz w:val="20"/>
          <w:szCs w:val="20"/>
          <w:lang w:val="fr-FR" w:eastAsia="en-US" w:bidi="ar-SA"/>
        </w:rPr>
        <w:t xml:space="preserve"> </w:t>
      </w:r>
      <w:r>
        <w:rPr>
          <w:rFonts w:hint="default"/>
          <w:b/>
          <w:bCs/>
          <w:color w:val="3891AF" w:themeColor="accent5" w:themeShade="BF"/>
          <w:sz w:val="20"/>
          <w:szCs w:val="20"/>
          <w:highlight w:val="none"/>
          <w:lang w:val="fr-FR"/>
        </w:rPr>
        <w:t>La formation peut se dérouler dans les locaux de l’organisme de formation. La session aura lieu exclusivement en région parisienne.</w:t>
      </w:r>
    </w:p>
    <w:p w14:paraId="6FD7BC41">
      <w:pPr>
        <w:numPr>
          <w:ilvl w:val="0"/>
          <w:numId w:val="0"/>
        </w:numPr>
        <w:spacing w:before="0"/>
        <w:ind w:left="420" w:leftChars="0" w:hanging="420" w:firstLineChars="0"/>
        <w:rPr>
          <w:rFonts w:hint="default"/>
          <w:b/>
          <w:bCs/>
          <w:color w:val="3891AF" w:themeColor="accent5" w:themeShade="BF"/>
          <w:sz w:val="20"/>
          <w:szCs w:val="20"/>
          <w:highlight w:val="none"/>
          <w:lang w:val="fr-FR"/>
        </w:rPr>
      </w:pPr>
      <w:r>
        <w:rPr>
          <w:rFonts w:hint="default" w:ascii="Wingdings" w:hAnsi="Wingdings" w:eastAsiaTheme="minorHAnsi" w:cstheme="minorBidi"/>
          <w:b/>
          <w:bCs/>
          <w:color w:val="3891AF" w:themeColor="accent5" w:themeShade="BF"/>
          <w:sz w:val="20"/>
          <w:szCs w:val="20"/>
          <w:lang w:val="fr-FR" w:eastAsia="en-US" w:bidi="ar-SA"/>
        </w:rPr>
        <w:t></w:t>
      </w:r>
      <w:r>
        <w:rPr>
          <w:rFonts w:hint="default" w:ascii="Wingdings" w:hAnsi="Wingdings" w:cstheme="minorBidi"/>
          <w:b/>
          <w:bCs/>
          <w:color w:val="3891AF" w:themeColor="accent5" w:themeShade="BF"/>
          <w:sz w:val="20"/>
          <w:szCs w:val="20"/>
          <w:lang w:val="fr-FR" w:eastAsia="en-US" w:bidi="ar-SA"/>
        </w:rPr>
        <w:t xml:space="preserve"> </w:t>
      </w:r>
      <w:r>
        <w:rPr>
          <w:rFonts w:hint="default"/>
          <w:b/>
          <w:bCs/>
          <w:color w:val="3891AF" w:themeColor="accent5" w:themeShade="BF"/>
          <w:sz w:val="20"/>
          <w:szCs w:val="20"/>
          <w:highlight w:val="none"/>
          <w:lang w:val="fr-FR"/>
        </w:rPr>
        <w:t xml:space="preserve">Elle peut aussi avoir lieu en distanciel si la prestation le permet. </w:t>
      </w:r>
    </w:p>
    <w:p w14:paraId="6FC83722">
      <w:pPr>
        <w:pStyle w:val="3"/>
        <w:rPr>
          <w:sz w:val="20"/>
          <w:szCs w:val="20"/>
        </w:rPr>
      </w:pPr>
      <w:r>
        <w:rPr>
          <w:rFonts w:hint="default"/>
          <w:sz w:val="20"/>
          <w:szCs w:val="20"/>
          <w:lang w:val="fr-FR"/>
        </w:rPr>
        <w:t>Mo</w:t>
      </w:r>
      <w:r>
        <w:rPr>
          <w:sz w:val="20"/>
          <w:szCs w:val="20"/>
        </w:rPr>
        <w:t xml:space="preserve">dalités pédagogiques d’animation : </w:t>
      </w:r>
    </w:p>
    <w:p w14:paraId="47F1CFD5">
      <w:pPr>
        <w:rPr>
          <w:rFonts w:hint="default"/>
          <w:b w:val="0"/>
          <w:bCs w:val="0"/>
          <w:iCs/>
          <w:sz w:val="20"/>
          <w:szCs w:val="20"/>
          <w:highlight w:val="none"/>
          <w:lang w:val="fr-FR"/>
        </w:rPr>
      </w:pPr>
      <w:r>
        <w:rPr>
          <w:rFonts w:hint="default"/>
          <w:b w:val="0"/>
          <w:bCs w:val="0"/>
          <w:iCs/>
          <w:sz w:val="20"/>
          <w:szCs w:val="20"/>
          <w:highlight w:val="none"/>
          <w:lang w:val="fr-FR"/>
        </w:rPr>
        <w:t>Alternance de séquences de réflexion, d’acquisition de connaissances et de temps interactifs pour mettre en pratique ses acquis et les évaluer. Les interactions avec chacun des participants sont à privilégier.</w:t>
      </w:r>
    </w:p>
    <w:p w14:paraId="4E4489B6">
      <w:pPr>
        <w:rPr>
          <w:rFonts w:hint="default"/>
          <w:b w:val="0"/>
          <w:bCs w:val="0"/>
          <w:iCs/>
          <w:sz w:val="20"/>
          <w:szCs w:val="20"/>
          <w:highlight w:val="none"/>
          <w:lang w:val="fr-FR"/>
        </w:rPr>
      </w:pPr>
      <w:r>
        <w:rPr>
          <w:rFonts w:hint="default"/>
          <w:b w:val="0"/>
          <w:bCs w:val="0"/>
          <w:iCs/>
          <w:sz w:val="20"/>
          <w:szCs w:val="20"/>
          <w:highlight w:val="none"/>
          <w:lang w:val="fr-FR"/>
        </w:rPr>
        <w:t xml:space="preserve">La remise d’un support numérique pédagogique structuré et adapté au contenu de la formation délivrée est demandée. </w:t>
      </w:r>
    </w:p>
    <w:p w14:paraId="165E72D1">
      <w:pPr>
        <w:pStyle w:val="3"/>
        <w:rPr>
          <w:sz w:val="20"/>
          <w:szCs w:val="20"/>
        </w:rPr>
      </w:pPr>
      <w:r>
        <w:rPr>
          <w:sz w:val="20"/>
          <w:szCs w:val="20"/>
        </w:rPr>
        <w:t>Modalités pratiques d’organisation</w:t>
      </w:r>
      <w:r>
        <w:rPr>
          <w:rFonts w:ascii="Calibri" w:hAnsi="Calibri" w:cs="Calibri"/>
          <w:sz w:val="20"/>
          <w:szCs w:val="20"/>
        </w:rPr>
        <w:t> </w:t>
      </w:r>
      <w:r>
        <w:rPr>
          <w:sz w:val="20"/>
          <w:szCs w:val="20"/>
        </w:rPr>
        <w:t>:</w:t>
      </w:r>
    </w:p>
    <w:p w14:paraId="79EB5FE3">
      <w:pPr>
        <w:rPr>
          <w:rFonts w:hint="default"/>
          <w:b w:val="0"/>
          <w:bCs w:val="0"/>
          <w:iCs/>
          <w:sz w:val="20"/>
          <w:szCs w:val="20"/>
          <w:highlight w:val="none"/>
          <w:lang w:val="fr-FR"/>
        </w:rPr>
      </w:pPr>
      <w:r>
        <w:rPr>
          <w:sz w:val="20"/>
          <w:szCs w:val="20"/>
        </w:rPr>
        <w:t>D</w:t>
      </w:r>
      <w:r>
        <w:rPr>
          <w:rFonts w:hint="default"/>
          <w:b w:val="0"/>
          <w:bCs w:val="0"/>
          <w:iCs/>
          <w:sz w:val="20"/>
          <w:szCs w:val="20"/>
          <w:highlight w:val="none"/>
          <w:lang w:val="fr-FR"/>
        </w:rPr>
        <w:t>urée prévisionnelle et volumétrie souhaitée :</w:t>
      </w:r>
    </w:p>
    <w:p w14:paraId="4F89613B">
      <w:pPr>
        <w:rPr>
          <w:rFonts w:hint="default"/>
          <w:b w:val="0"/>
          <w:bCs w:val="0"/>
          <w:iCs/>
          <w:sz w:val="20"/>
          <w:szCs w:val="20"/>
          <w:highlight w:val="none"/>
          <w:lang w:val="fr-FR"/>
        </w:rPr>
      </w:pPr>
      <w:r>
        <w:rPr>
          <w:rFonts w:hint="default"/>
          <w:b w:val="0"/>
          <w:bCs w:val="0"/>
          <w:iCs/>
          <w:sz w:val="20"/>
          <w:szCs w:val="20"/>
          <w:highlight w:val="none"/>
          <w:lang w:val="fr-FR"/>
        </w:rPr>
        <w:t xml:space="preserve">Durée : 2 à 3 jours </w:t>
      </w:r>
    </w:p>
    <w:p w14:paraId="710F1692">
      <w:pPr>
        <w:rPr>
          <w:rFonts w:hint="default"/>
          <w:b w:val="0"/>
          <w:bCs w:val="0"/>
          <w:iCs/>
          <w:sz w:val="20"/>
          <w:szCs w:val="20"/>
          <w:highlight w:val="none"/>
          <w:lang w:val="fr-FR"/>
        </w:rPr>
      </w:pPr>
      <w:r>
        <w:rPr>
          <w:rFonts w:hint="default"/>
          <w:b w:val="0"/>
          <w:bCs w:val="0"/>
          <w:iCs/>
          <w:sz w:val="20"/>
          <w:szCs w:val="20"/>
          <w:highlight w:val="none"/>
          <w:lang w:val="fr-FR"/>
        </w:rPr>
        <w:t>Volumétrie : 1 session pour 2 stagiaires à former</w:t>
      </w:r>
    </w:p>
    <w:p w14:paraId="6FDED4B0">
      <w:pPr>
        <w:pStyle w:val="2"/>
        <w:rPr>
          <w:sz w:val="20"/>
          <w:szCs w:val="20"/>
        </w:rPr>
      </w:pPr>
      <w:r>
        <w:rPr>
          <w:sz w:val="20"/>
          <w:szCs w:val="20"/>
        </w:rPr>
        <w:t xml:space="preserve">DISPOSITIONS ADMINISTRATIVES </w:t>
      </w:r>
    </w:p>
    <w:p w14:paraId="27CD2EB6">
      <w:pPr>
        <w:pStyle w:val="3"/>
        <w:rPr>
          <w:sz w:val="20"/>
          <w:szCs w:val="20"/>
        </w:rPr>
      </w:pPr>
      <w:bookmarkStart w:id="7" w:name="_Toc177388441"/>
      <w:r>
        <w:rPr>
          <w:sz w:val="20"/>
          <w:szCs w:val="20"/>
        </w:rPr>
        <w:t>Forme du marché</w:t>
      </w:r>
      <w:bookmarkEnd w:id="7"/>
    </w:p>
    <w:p w14:paraId="0585CCD2">
      <w:pPr>
        <w:rPr>
          <w:rStyle w:val="15"/>
          <w:b w:val="0"/>
          <w:bCs/>
          <w:color w:val="auto"/>
          <w:sz w:val="20"/>
          <w:szCs w:val="20"/>
          <w:highlight w:val="none"/>
        </w:rPr>
      </w:pPr>
      <w:sdt>
        <w:sdtPr>
          <w:rPr>
            <w:rStyle w:val="15"/>
            <w:b w:val="0"/>
            <w:bCs/>
            <w:sz w:val="20"/>
            <w:szCs w:val="20"/>
          </w:rPr>
          <w:id w:val="-724601758"/>
          <w14:checkbox>
            <w14:checked w14:val="0"/>
            <w14:checkedState w14:val="2612" w14:font="MS Gothic"/>
            <w14:uncheckedState w14:val="2610" w14:font="MS Gothic"/>
          </w14:checkbox>
        </w:sdtPr>
        <w:sdtEndPr>
          <w:rPr>
            <w:rStyle w:val="15"/>
            <w:b w:val="0"/>
            <w:bCs/>
            <w:color w:val="auto"/>
            <w:sz w:val="20"/>
            <w:szCs w:val="20"/>
            <w:highlight w:val="none"/>
          </w:rPr>
        </w:sdtEndPr>
        <w:sdtContent>
          <w:r>
            <w:rPr>
              <w:rFonts w:hint="eastAsia" w:ascii="MS Gothic" w:hAnsi="MS Gothic" w:eastAsia="MS Gothic" w:cstheme="minorBidi"/>
              <w:b w:val="0"/>
              <w:bCs/>
              <w:iCs/>
              <w:color w:val="000000" w:themeColor="text1"/>
              <w:sz w:val="20"/>
              <w:szCs w:val="20"/>
              <w:lang w:val="fr-FR" w:eastAsia="en-US" w:bidi="ar-SA"/>
              <w14:textFill>
                <w14:solidFill>
                  <w14:schemeClr w14:val="tx1"/>
                </w14:solidFill>
              </w14:textFill>
            </w:rPr>
            <w:t>☐</w:t>
          </w:r>
        </w:sdtContent>
      </w:sdt>
      <w:r>
        <w:rPr>
          <w:rStyle w:val="15"/>
          <w:b w:val="0"/>
          <w:bCs/>
          <w:color w:val="auto"/>
          <w:sz w:val="20"/>
          <w:szCs w:val="20"/>
          <w:highlight w:val="none"/>
        </w:rPr>
        <w:t xml:space="preserve"> </w:t>
      </w:r>
      <w:r>
        <w:rPr>
          <w:rStyle w:val="15"/>
          <w:rFonts w:hint="default"/>
          <w:b w:val="0"/>
          <w:bCs/>
          <w:color w:val="auto"/>
          <w:sz w:val="20"/>
          <w:szCs w:val="20"/>
          <w:highlight w:val="none"/>
          <w:lang w:val="fr-FR"/>
        </w:rPr>
        <w:t>Il s’agit d’un m</w:t>
      </w:r>
      <w:r>
        <w:rPr>
          <w:rStyle w:val="15"/>
          <w:b w:val="0"/>
          <w:bCs/>
          <w:color w:val="auto"/>
          <w:sz w:val="20"/>
          <w:szCs w:val="20"/>
          <w:highlight w:val="none"/>
        </w:rPr>
        <w:t>arché ordinaire rémunéré par un prix global et forfaitaire.</w:t>
      </w:r>
    </w:p>
    <w:p w14:paraId="790F3973">
      <w:pPr>
        <w:rPr>
          <w:b/>
          <w:bCs w:val="0"/>
          <w:sz w:val="20"/>
          <w:szCs w:val="20"/>
          <w:highlight w:val="yellow"/>
        </w:rPr>
      </w:pPr>
      <w:sdt>
        <w:sdtPr>
          <w:rPr>
            <w:bCs/>
            <w:sz w:val="20"/>
            <w:szCs w:val="20"/>
            <w:highlight w:val="yellow"/>
          </w:rPr>
          <w:id w:val="-1371226652"/>
          <w14:checkbox>
            <w14:checked w14:val="1"/>
            <w14:checkedState w14:val="2612" w14:font="MS Gothic"/>
            <w14:uncheckedState w14:val="2610" w14:font="MS Gothic"/>
          </w14:checkbox>
        </w:sdtPr>
        <w:sdtEndPr>
          <w:rPr>
            <w:b/>
            <w:bCs w:val="0"/>
            <w:sz w:val="20"/>
            <w:szCs w:val="20"/>
            <w:highlight w:val="yellow"/>
          </w:rPr>
        </w:sdtEndPr>
        <w:sdtContent>
          <w:r>
            <w:rPr>
              <w:rFonts w:hint="eastAsia" w:ascii="MS Gothic" w:hAnsi="MS Gothic" w:eastAsia="MS Gothic" w:cstheme="minorBidi"/>
              <w:b/>
              <w:bCs w:val="0"/>
              <w:color w:val="000000" w:themeColor="text1"/>
              <w:sz w:val="20"/>
              <w:szCs w:val="20"/>
              <w:highlight w:val="yellow"/>
              <w:lang w:val="fr-FR" w:eastAsia="en-US" w:bidi="ar-SA"/>
              <w14:textFill>
                <w14:solidFill>
                  <w14:schemeClr w14:val="tx1"/>
                </w14:solidFill>
              </w14:textFill>
            </w:rPr>
            <w:t>☒</w:t>
          </w:r>
        </w:sdtContent>
      </w:sdt>
      <w:r>
        <w:rPr>
          <w:b/>
          <w:bCs w:val="0"/>
          <w:sz w:val="20"/>
          <w:szCs w:val="20"/>
          <w:highlight w:val="yellow"/>
        </w:rPr>
        <w:t xml:space="preserve"> </w:t>
      </w:r>
      <w:r>
        <w:rPr>
          <w:rStyle w:val="15"/>
          <w:b/>
          <w:bCs w:val="0"/>
          <w:sz w:val="20"/>
          <w:szCs w:val="20"/>
          <w:highlight w:val="yellow"/>
        </w:rPr>
        <w:t>Le marché est passé sous la forme d’un accord-cadre à bons de commande mono-attributaire rémunéré par des prix unitaires</w:t>
      </w:r>
      <w:r>
        <w:rPr>
          <w:b/>
          <w:bCs w:val="0"/>
          <w:sz w:val="20"/>
          <w:szCs w:val="20"/>
          <w:highlight w:val="yellow"/>
        </w:rPr>
        <w:t>. Les bons de commande sont émis par l’acheteur au fur et à mesure des besoins.</w:t>
      </w:r>
    </w:p>
    <w:p w14:paraId="48296299">
      <w:pPr>
        <w:pStyle w:val="3"/>
        <w:rPr>
          <w:sz w:val="20"/>
          <w:szCs w:val="20"/>
        </w:rPr>
      </w:pPr>
      <w:r>
        <w:rPr>
          <w:sz w:val="20"/>
          <w:szCs w:val="20"/>
        </w:rPr>
        <w:t xml:space="preserve">Durée et délais d’exécution </w:t>
      </w:r>
    </w:p>
    <w:p w14:paraId="76B857C1">
      <w:pPr>
        <w:pStyle w:val="4"/>
        <w:ind w:left="567" w:hanging="567"/>
        <w:rPr>
          <w:sz w:val="20"/>
          <w:szCs w:val="20"/>
        </w:rPr>
      </w:pPr>
      <w:r>
        <w:rPr>
          <w:sz w:val="20"/>
          <w:szCs w:val="20"/>
        </w:rPr>
        <w:t>Durée</w:t>
      </w:r>
    </w:p>
    <w:p w14:paraId="6675F86C">
      <w:pPr>
        <w:pStyle w:val="67"/>
        <w:rPr>
          <w:sz w:val="20"/>
          <w:szCs w:val="20"/>
        </w:rPr>
      </w:pPr>
      <w:r>
        <w:rPr>
          <w:sz w:val="20"/>
          <w:szCs w:val="20"/>
        </w:rPr>
        <w:t>Le présent marché est :</w:t>
      </w:r>
    </w:p>
    <w:p w14:paraId="56C82F29">
      <w:pPr>
        <w:rPr>
          <w:b w:val="0"/>
          <w:bCs w:val="0"/>
          <w:sz w:val="20"/>
          <w:szCs w:val="20"/>
          <w:highlight w:val="none"/>
        </w:rPr>
      </w:pPr>
      <w:sdt>
        <w:sdtPr>
          <w:rPr>
            <w:b w:val="0"/>
            <w:bCs w:val="0"/>
            <w:sz w:val="20"/>
            <w:szCs w:val="20"/>
            <w:highlight w:val="none"/>
          </w:rPr>
          <w:id w:val="805431812"/>
          <w14:checkbox>
            <w14:checked w14:val="0"/>
            <w14:checkedState w14:val="2612" w14:font="MS Gothic"/>
            <w14:uncheckedState w14:val="2610" w14:font="MS Gothic"/>
          </w14:checkbox>
        </w:sdtPr>
        <w:sdtEndPr>
          <w:rPr>
            <w:b w:val="0"/>
            <w:bCs w:val="0"/>
            <w:sz w:val="20"/>
            <w:szCs w:val="20"/>
            <w:highlight w:val="none"/>
          </w:rPr>
        </w:sdtEndPr>
        <w:sdtContent>
          <w:r>
            <w:rPr>
              <w:rFonts w:hint="eastAsia"/>
              <w:b w:val="0"/>
              <w:bCs w:val="0"/>
              <w:sz w:val="20"/>
              <w:szCs w:val="20"/>
              <w:highlight w:val="none"/>
              <w:lang w:val="fr-FR" w:eastAsia="en-US"/>
            </w:rPr>
            <w:t>☐</w:t>
          </w:r>
        </w:sdtContent>
      </w:sdt>
      <w:r>
        <w:rPr>
          <w:b w:val="0"/>
          <w:bCs w:val="0"/>
          <w:sz w:val="20"/>
          <w:szCs w:val="20"/>
          <w:highlight w:val="none"/>
        </w:rPr>
        <w:t xml:space="preserve"> Ponctuel - Il prend effet à compter de sa date de notification et s’achève après la réalisation d</w:t>
      </w:r>
      <w:r>
        <w:rPr>
          <w:rFonts w:hint="default"/>
          <w:b w:val="0"/>
          <w:bCs w:val="0"/>
          <w:sz w:val="20"/>
          <w:szCs w:val="20"/>
          <w:highlight w:val="none"/>
          <w:lang w:val="fr-FR"/>
        </w:rPr>
        <w:t xml:space="preserve">e la </w:t>
      </w:r>
      <w:r>
        <w:rPr>
          <w:b w:val="0"/>
          <w:bCs w:val="0"/>
          <w:sz w:val="20"/>
          <w:szCs w:val="20"/>
          <w:highlight w:val="none"/>
        </w:rPr>
        <w:t>prestation.</w:t>
      </w:r>
    </w:p>
    <w:p w14:paraId="41444F3D">
      <w:pPr>
        <w:rPr>
          <w:b/>
          <w:bCs/>
          <w:sz w:val="20"/>
          <w:szCs w:val="20"/>
          <w:highlight w:val="yellow"/>
        </w:rPr>
      </w:pPr>
      <w:sdt>
        <w:sdtPr>
          <w:rPr>
            <w:b/>
            <w:bCs/>
            <w:sz w:val="20"/>
            <w:szCs w:val="20"/>
            <w:highlight w:val="yellow"/>
          </w:rPr>
          <w:id w:val="-286282165"/>
          <w14:checkbox>
            <w14:checked w14:val="1"/>
            <w14:checkedState w14:val="2612" w14:font="MS Gothic"/>
            <w14:uncheckedState w14:val="2610" w14:font="MS Gothic"/>
          </w14:checkbox>
        </w:sdtPr>
        <w:sdtEndPr>
          <w:rPr>
            <w:b/>
            <w:bCs/>
            <w:sz w:val="20"/>
            <w:szCs w:val="20"/>
            <w:highlight w:val="yellow"/>
          </w:rPr>
        </w:sdtEndPr>
        <w:sdtContent>
          <w:r>
            <w:rPr>
              <w:rFonts w:hint="eastAsia"/>
              <w:b/>
              <w:bCs/>
              <w:sz w:val="20"/>
              <w:szCs w:val="20"/>
              <w:highlight w:val="yellow"/>
              <w:lang w:val="fr-FR" w:eastAsia="en-US"/>
            </w:rPr>
            <w:t>☒</w:t>
          </w:r>
        </w:sdtContent>
      </w:sdt>
      <w:r>
        <w:rPr>
          <w:b/>
          <w:bCs/>
          <w:sz w:val="20"/>
          <w:szCs w:val="20"/>
          <w:highlight w:val="yellow"/>
        </w:rPr>
        <w:t xml:space="preserve"> Annuel - Il prend effet à compter de sa date de notification pour une durée d’un (1) an.</w:t>
      </w:r>
    </w:p>
    <w:p w14:paraId="74A09F17">
      <w:pPr>
        <w:pStyle w:val="4"/>
        <w:ind w:left="567" w:hanging="567"/>
        <w:rPr>
          <w:sz w:val="20"/>
          <w:szCs w:val="20"/>
        </w:rPr>
      </w:pPr>
      <w:r>
        <w:rPr>
          <w:sz w:val="20"/>
          <w:szCs w:val="20"/>
        </w:rPr>
        <w:t>Dates, horaires et délais d’exécution</w:t>
      </w:r>
    </w:p>
    <w:p w14:paraId="054C58B6">
      <w:pPr>
        <w:pStyle w:val="5"/>
        <w:ind w:hanging="297"/>
        <w:rPr>
          <w:sz w:val="20"/>
          <w:szCs w:val="20"/>
        </w:rPr>
      </w:pPr>
      <w:r>
        <w:rPr>
          <w:sz w:val="20"/>
          <w:szCs w:val="20"/>
        </w:rPr>
        <w:t>Délais d’exécution</w:t>
      </w:r>
    </w:p>
    <w:p w14:paraId="51041D94">
      <w:pPr>
        <w:rPr>
          <w:sz w:val="20"/>
          <w:szCs w:val="20"/>
        </w:rPr>
      </w:pPr>
      <w:r>
        <w:rPr>
          <w:sz w:val="20"/>
          <w:szCs w:val="20"/>
        </w:rPr>
        <w:t>Les délais contractuels d’exécution des prestations sont précisés dans l’offre technique du titulaire.</w:t>
      </w:r>
    </w:p>
    <w:p w14:paraId="5BECACE2">
      <w:pPr>
        <w:pStyle w:val="5"/>
        <w:ind w:hanging="297"/>
        <w:rPr>
          <w:sz w:val="20"/>
          <w:szCs w:val="20"/>
        </w:rPr>
      </w:pPr>
      <w:r>
        <w:rPr>
          <w:sz w:val="20"/>
          <w:szCs w:val="20"/>
        </w:rPr>
        <w:t>Dates et horaires</w:t>
      </w:r>
    </w:p>
    <w:p w14:paraId="26650D2A">
      <w:pPr>
        <w:rPr>
          <w:sz w:val="20"/>
          <w:szCs w:val="20"/>
        </w:rPr>
      </w:pPr>
      <w:r>
        <w:rPr>
          <w:sz w:val="20"/>
          <w:szCs w:val="20"/>
        </w:rPr>
        <w:t xml:space="preserve">Les dates et les horaires d’exécution des prestations seront </w:t>
      </w:r>
      <w:r>
        <w:rPr>
          <w:rFonts w:hint="default"/>
          <w:sz w:val="20"/>
          <w:szCs w:val="20"/>
          <w:lang w:val="fr-FR"/>
        </w:rPr>
        <w:t xml:space="preserve">proposés dans l’offre: ils seront </w:t>
      </w:r>
      <w:r>
        <w:rPr>
          <w:sz w:val="20"/>
          <w:szCs w:val="20"/>
        </w:rPr>
        <w:t>confirmés après la notification du marché.</w:t>
      </w:r>
    </w:p>
    <w:p w14:paraId="7E580BAB">
      <w:pPr>
        <w:pStyle w:val="3"/>
        <w:rPr>
          <w:sz w:val="20"/>
          <w:szCs w:val="20"/>
        </w:rPr>
      </w:pPr>
      <w:r>
        <w:rPr>
          <w:sz w:val="20"/>
          <w:szCs w:val="20"/>
        </w:rPr>
        <w:t>Documents contractuels</w:t>
      </w:r>
    </w:p>
    <w:p w14:paraId="5504D73F">
      <w:pPr>
        <w:pStyle w:val="67"/>
        <w:keepNext w:val="0"/>
        <w:spacing w:before="0"/>
        <w:rPr>
          <w:sz w:val="20"/>
          <w:szCs w:val="20"/>
        </w:rPr>
      </w:pPr>
      <w:r>
        <w:rPr>
          <w:sz w:val="20"/>
          <w:szCs w:val="20"/>
        </w:rPr>
        <w:t>Toute clause figurant aux conditions générales du titulaire sur ses tarifs ou au dos de ses factures, et contraire aux documents indiqués ci-dessous, est réputée non écrite.</w:t>
      </w:r>
    </w:p>
    <w:p w14:paraId="1A5283F2">
      <w:pPr>
        <w:pStyle w:val="67"/>
        <w:spacing w:before="0"/>
        <w:rPr>
          <w:sz w:val="20"/>
          <w:szCs w:val="20"/>
        </w:rPr>
      </w:pPr>
      <w:r>
        <w:rPr>
          <w:sz w:val="20"/>
          <w:szCs w:val="20"/>
        </w:rPr>
        <w:t>Le marché est constitué par les documents contractuels énumérés ci-dessous par ordre de priorité décroissante :</w:t>
      </w:r>
    </w:p>
    <w:p w14:paraId="19696433">
      <w:pPr>
        <w:pStyle w:val="23"/>
        <w:numPr>
          <w:ilvl w:val="0"/>
          <w:numId w:val="10"/>
        </w:numPr>
        <w:rPr>
          <w:sz w:val="20"/>
          <w:szCs w:val="20"/>
        </w:rPr>
      </w:pPr>
      <w:r>
        <w:rPr>
          <w:sz w:val="20"/>
          <w:szCs w:val="20"/>
        </w:rPr>
        <w:t xml:space="preserve">Le présent </w:t>
      </w:r>
      <w:r>
        <w:rPr>
          <w:rStyle w:val="15"/>
          <w:sz w:val="20"/>
          <w:szCs w:val="20"/>
        </w:rPr>
        <w:t>cahier des clauses particulières valant acte d’engagement</w:t>
      </w:r>
      <w:r>
        <w:rPr>
          <w:sz w:val="20"/>
          <w:szCs w:val="20"/>
        </w:rPr>
        <w:t xml:space="preserve"> (CCP-AE n°GBM_2</w:t>
      </w:r>
      <w:r>
        <w:rPr>
          <w:rFonts w:hint="default"/>
          <w:sz w:val="20"/>
          <w:szCs w:val="20"/>
          <w:lang w:val="fr-FR"/>
        </w:rPr>
        <w:t>6046</w:t>
      </w:r>
      <w:r>
        <w:rPr>
          <w:sz w:val="20"/>
          <w:szCs w:val="20"/>
        </w:rPr>
        <w:t>) et son annexe financière</w:t>
      </w:r>
      <w:r>
        <w:rPr>
          <w:rFonts w:ascii="Calibri" w:hAnsi="Calibri" w:cs="Calibri"/>
          <w:sz w:val="20"/>
          <w:szCs w:val="20"/>
        </w:rPr>
        <w:t> </w:t>
      </w:r>
      <w:r>
        <w:rPr>
          <w:sz w:val="20"/>
          <w:szCs w:val="20"/>
        </w:rPr>
        <w:t>;</w:t>
      </w:r>
    </w:p>
    <w:p w14:paraId="7B35B25E">
      <w:pPr>
        <w:pStyle w:val="23"/>
        <w:rPr>
          <w:sz w:val="20"/>
          <w:szCs w:val="20"/>
        </w:rPr>
      </w:pPr>
      <w:r>
        <w:rPr>
          <w:sz w:val="20"/>
          <w:szCs w:val="20"/>
        </w:rPr>
        <w:t xml:space="preserve">Le </w:t>
      </w:r>
      <w:r>
        <w:rPr>
          <w:rStyle w:val="15"/>
          <w:sz w:val="20"/>
          <w:szCs w:val="20"/>
        </w:rPr>
        <w:t>cahier des clauses administratives générales des marchés publics de fournitures courantes et de services</w:t>
      </w:r>
      <w:r>
        <w:rPr>
          <w:sz w:val="20"/>
          <w:szCs w:val="20"/>
        </w:rPr>
        <w:t xml:space="preserve"> (CCAG-FCS), approuvé par arrêté interministériel du 30</w:t>
      </w:r>
      <w:r>
        <w:rPr>
          <w:rFonts w:ascii="Calibri" w:hAnsi="Calibri" w:cs="Calibri"/>
          <w:sz w:val="20"/>
          <w:szCs w:val="20"/>
        </w:rPr>
        <w:t> </w:t>
      </w:r>
      <w:r>
        <w:rPr>
          <w:sz w:val="20"/>
          <w:szCs w:val="20"/>
        </w:rPr>
        <w:t>mars 2021 (JORF n° 0078 du 1</w:t>
      </w:r>
      <w:r>
        <w:rPr>
          <w:sz w:val="20"/>
          <w:szCs w:val="20"/>
          <w:vertAlign w:val="superscript"/>
        </w:rPr>
        <w:t>er</w:t>
      </w:r>
      <w:r>
        <w:rPr>
          <w:rFonts w:ascii="Calibri" w:hAnsi="Calibri" w:cs="Calibri"/>
          <w:sz w:val="20"/>
          <w:szCs w:val="20"/>
        </w:rPr>
        <w:t> </w:t>
      </w:r>
      <w:r>
        <w:rPr>
          <w:sz w:val="20"/>
          <w:szCs w:val="20"/>
        </w:rPr>
        <w:t>avril 2021)</w:t>
      </w:r>
      <w:r>
        <w:rPr>
          <w:rFonts w:ascii="Calibri" w:hAnsi="Calibri" w:cs="Calibri"/>
          <w:sz w:val="20"/>
          <w:szCs w:val="20"/>
        </w:rPr>
        <w:t> </w:t>
      </w:r>
      <w:r>
        <w:rPr>
          <w:sz w:val="20"/>
          <w:szCs w:val="20"/>
        </w:rPr>
        <w:t>;</w:t>
      </w:r>
    </w:p>
    <w:p w14:paraId="6B989C02">
      <w:pPr>
        <w:pStyle w:val="23"/>
        <w:rPr>
          <w:sz w:val="20"/>
          <w:szCs w:val="20"/>
        </w:rPr>
      </w:pPr>
      <w:r>
        <w:rPr>
          <w:sz w:val="20"/>
          <w:szCs w:val="20"/>
        </w:rPr>
        <w:t>L’</w:t>
      </w:r>
      <w:r>
        <w:rPr>
          <w:rStyle w:val="15"/>
          <w:sz w:val="20"/>
          <w:szCs w:val="20"/>
        </w:rPr>
        <w:t xml:space="preserve">offre technique </w:t>
      </w:r>
      <w:r>
        <w:rPr>
          <w:sz w:val="20"/>
          <w:szCs w:val="20"/>
        </w:rPr>
        <w:t>du titulaire</w:t>
      </w:r>
      <w:r>
        <w:rPr>
          <w:rFonts w:ascii="Calibri" w:hAnsi="Calibri" w:cs="Calibri"/>
          <w:sz w:val="20"/>
          <w:szCs w:val="20"/>
        </w:rPr>
        <w:t> </w:t>
      </w:r>
      <w:r>
        <w:rPr>
          <w:sz w:val="20"/>
          <w:szCs w:val="20"/>
        </w:rPr>
        <w:t>;</w:t>
      </w:r>
    </w:p>
    <w:p w14:paraId="2DED76A9">
      <w:pPr>
        <w:pStyle w:val="23"/>
        <w:rPr>
          <w:sz w:val="20"/>
          <w:szCs w:val="20"/>
        </w:rPr>
      </w:pPr>
      <w:r>
        <w:rPr>
          <w:sz w:val="20"/>
          <w:szCs w:val="20"/>
        </w:rPr>
        <w:t>Toutes autres pièces particulières contractuelles réclamées au stade de la passation ou de l’exécution du marché.</w:t>
      </w:r>
    </w:p>
    <w:p w14:paraId="0FE816A6">
      <w:pPr>
        <w:pStyle w:val="3"/>
        <w:rPr>
          <w:sz w:val="20"/>
          <w:szCs w:val="20"/>
        </w:rPr>
      </w:pPr>
      <w:r>
        <w:rPr>
          <w:sz w:val="20"/>
          <w:szCs w:val="20"/>
        </w:rPr>
        <w:t xml:space="preserve">Modalités administratives d’exécution des prestations </w:t>
      </w:r>
    </w:p>
    <w:p w14:paraId="42FA00E4">
      <w:pPr>
        <w:pStyle w:val="4"/>
        <w:spacing w:after="120"/>
        <w:ind w:left="567" w:hanging="595"/>
        <w:rPr>
          <w:sz w:val="20"/>
          <w:szCs w:val="20"/>
        </w:rPr>
      </w:pPr>
      <w:r>
        <w:rPr>
          <w:sz w:val="20"/>
          <w:szCs w:val="20"/>
        </w:rPr>
        <w:t>Correspondants techniques et administratifs</w:t>
      </w:r>
    </w:p>
    <w:p w14:paraId="0C010A37">
      <w:pPr>
        <w:pStyle w:val="67"/>
        <w:spacing w:before="0"/>
        <w:rPr>
          <w:sz w:val="20"/>
          <w:szCs w:val="20"/>
        </w:rPr>
      </w:pPr>
      <w:r>
        <w:rPr>
          <w:sz w:val="20"/>
          <w:szCs w:val="20"/>
        </w:rPr>
        <w:t>Les interlocuteurs du titulaire sont :</w:t>
      </w:r>
    </w:p>
    <w:p w14:paraId="1EF19C3A">
      <w:pPr>
        <w:pStyle w:val="31"/>
        <w:spacing w:before="0"/>
        <w:contextualSpacing/>
        <w:rPr>
          <w:sz w:val="20"/>
          <w:szCs w:val="20"/>
        </w:rPr>
      </w:pPr>
      <w:r>
        <w:rPr>
          <w:rStyle w:val="15"/>
          <w:sz w:val="20"/>
          <w:szCs w:val="20"/>
        </w:rPr>
        <w:t>Interlocuteur technique :</w:t>
      </w:r>
      <w:r>
        <w:rPr>
          <w:sz w:val="20"/>
          <w:szCs w:val="20"/>
        </w:rPr>
        <w:t xml:space="preserve"> IGN/SREF/</w:t>
      </w:r>
      <w:bookmarkStart w:id="8" w:name="_Hlk180492074"/>
      <w:r>
        <w:rPr>
          <w:sz w:val="20"/>
          <w:szCs w:val="20"/>
        </w:rPr>
        <w:t>Département GPEEC Formation</w:t>
      </w:r>
      <w:r>
        <w:rPr>
          <w:rFonts w:ascii="Calibri" w:hAnsi="Calibri" w:cs="Calibri"/>
          <w:sz w:val="20"/>
          <w:szCs w:val="20"/>
        </w:rPr>
        <w:t> </w:t>
      </w:r>
      <w:bookmarkEnd w:id="8"/>
      <w:r>
        <w:rPr>
          <w:sz w:val="20"/>
          <w:szCs w:val="20"/>
        </w:rPr>
        <w:t>:</w:t>
      </w:r>
    </w:p>
    <w:p w14:paraId="3603120C">
      <w:pPr>
        <w:pStyle w:val="17"/>
        <w:numPr>
          <w:ilvl w:val="0"/>
          <w:numId w:val="0"/>
        </w:numPr>
        <w:spacing w:before="0"/>
        <w:ind w:left="567"/>
        <w:contextualSpacing/>
        <w:rPr>
          <w:sz w:val="20"/>
          <w:szCs w:val="20"/>
        </w:rPr>
      </w:pPr>
      <w:r>
        <w:rPr>
          <w:sz w:val="20"/>
          <w:szCs w:val="20"/>
        </w:rPr>
        <w:t xml:space="preserve">73, avenue de </w:t>
      </w:r>
      <w:r>
        <w:rPr>
          <w:rFonts w:hint="default"/>
          <w:sz w:val="20"/>
          <w:szCs w:val="20"/>
          <w:lang w:val="fr-FR"/>
        </w:rPr>
        <w:t>P</w:t>
      </w:r>
      <w:r>
        <w:rPr>
          <w:sz w:val="20"/>
          <w:szCs w:val="20"/>
        </w:rPr>
        <w:t>aris – 94165 Saint-Mandé</w:t>
      </w:r>
    </w:p>
    <w:p w14:paraId="2ED819F2">
      <w:pPr>
        <w:pStyle w:val="17"/>
        <w:numPr>
          <w:ilvl w:val="0"/>
          <w:numId w:val="0"/>
        </w:numPr>
        <w:spacing w:before="0"/>
        <w:ind w:left="567"/>
        <w:rPr>
          <w:sz w:val="20"/>
          <w:szCs w:val="20"/>
        </w:rPr>
      </w:pPr>
      <w:r>
        <w:rPr>
          <w:sz w:val="20"/>
          <w:szCs w:val="20"/>
        </w:rPr>
        <w:t xml:space="preserve">Courriel : </w:t>
      </w:r>
      <w:r>
        <w:fldChar w:fldCharType="begin"/>
      </w:r>
      <w:r>
        <w:instrText xml:space="preserve"> HYPERLINK "mailto:eric.charrier@ign.fr" </w:instrText>
      </w:r>
      <w:r>
        <w:fldChar w:fldCharType="separate"/>
      </w:r>
      <w:r>
        <w:rPr>
          <w:rStyle w:val="12"/>
          <w:sz w:val="20"/>
          <w:szCs w:val="20"/>
        </w:rPr>
        <w:t>eric.charrier@ign.fr</w:t>
      </w:r>
      <w:r>
        <w:rPr>
          <w:rStyle w:val="12"/>
          <w:sz w:val="20"/>
          <w:szCs w:val="20"/>
        </w:rPr>
        <w:fldChar w:fldCharType="end"/>
      </w:r>
    </w:p>
    <w:p w14:paraId="33682C9C">
      <w:pPr>
        <w:pStyle w:val="31"/>
        <w:spacing w:before="0"/>
        <w:ind w:left="568" w:hanging="284"/>
        <w:contextualSpacing/>
        <w:rPr>
          <w:sz w:val="20"/>
          <w:szCs w:val="20"/>
        </w:rPr>
      </w:pPr>
      <w:r>
        <w:rPr>
          <w:rStyle w:val="15"/>
          <w:sz w:val="20"/>
          <w:szCs w:val="20"/>
        </w:rPr>
        <w:t>Interlocuteur administratif :</w:t>
      </w:r>
      <w:r>
        <w:rPr>
          <w:sz w:val="20"/>
          <w:szCs w:val="20"/>
        </w:rPr>
        <w:t xml:space="preserve"> IGN/SAM/Département des marchés</w:t>
      </w:r>
      <w:r>
        <w:rPr>
          <w:rFonts w:ascii="Calibri" w:hAnsi="Calibri" w:cs="Calibri"/>
          <w:sz w:val="20"/>
          <w:szCs w:val="20"/>
        </w:rPr>
        <w:t> </w:t>
      </w:r>
      <w:r>
        <w:rPr>
          <w:sz w:val="20"/>
          <w:szCs w:val="20"/>
        </w:rPr>
        <w:t>:</w:t>
      </w:r>
    </w:p>
    <w:p w14:paraId="3E843264">
      <w:pPr>
        <w:pStyle w:val="17"/>
        <w:numPr>
          <w:ilvl w:val="0"/>
          <w:numId w:val="0"/>
        </w:numPr>
        <w:spacing w:before="0"/>
        <w:ind w:left="567"/>
        <w:contextualSpacing/>
        <w:rPr>
          <w:sz w:val="20"/>
          <w:szCs w:val="20"/>
        </w:rPr>
      </w:pPr>
      <w:r>
        <w:rPr>
          <w:sz w:val="20"/>
          <w:szCs w:val="20"/>
        </w:rPr>
        <w:t>73, avenue de paris – 94165 Saint-Mandé</w:t>
      </w:r>
    </w:p>
    <w:p w14:paraId="78864BF6">
      <w:pPr>
        <w:pStyle w:val="17"/>
        <w:numPr>
          <w:ilvl w:val="0"/>
          <w:numId w:val="0"/>
        </w:numPr>
        <w:spacing w:before="0"/>
        <w:ind w:left="567"/>
        <w:rPr>
          <w:sz w:val="20"/>
          <w:szCs w:val="20"/>
        </w:rPr>
      </w:pPr>
      <w:r>
        <w:rPr>
          <w:sz w:val="20"/>
          <w:szCs w:val="20"/>
        </w:rPr>
        <w:t xml:space="preserve">Courriel : </w:t>
      </w:r>
      <w:r>
        <w:fldChar w:fldCharType="begin"/>
      </w:r>
      <w:r>
        <w:instrText xml:space="preserve"> HYPERLINK "mailto:marches-publics@ign.fr" </w:instrText>
      </w:r>
      <w:r>
        <w:fldChar w:fldCharType="separate"/>
      </w:r>
      <w:r>
        <w:rPr>
          <w:rStyle w:val="12"/>
          <w:sz w:val="20"/>
          <w:szCs w:val="20"/>
        </w:rPr>
        <w:t>marches-publics@ign.fr</w:t>
      </w:r>
      <w:r>
        <w:rPr>
          <w:rStyle w:val="12"/>
          <w:sz w:val="20"/>
          <w:szCs w:val="20"/>
        </w:rPr>
        <w:fldChar w:fldCharType="end"/>
      </w:r>
    </w:p>
    <w:p w14:paraId="533410C4">
      <w:pPr>
        <w:pStyle w:val="4"/>
        <w:spacing w:after="120"/>
        <w:ind w:left="567" w:hanging="567"/>
        <w:rPr>
          <w:sz w:val="20"/>
          <w:szCs w:val="20"/>
        </w:rPr>
      </w:pPr>
      <w:r>
        <w:rPr>
          <w:sz w:val="20"/>
          <w:szCs w:val="20"/>
        </w:rPr>
        <w:t>Attestation de formation</w:t>
      </w:r>
    </w:p>
    <w:p w14:paraId="0F74193B">
      <w:pPr>
        <w:rPr>
          <w:sz w:val="20"/>
          <w:szCs w:val="20"/>
        </w:rPr>
      </w:pPr>
      <w:r>
        <w:rPr>
          <w:sz w:val="20"/>
          <w:szCs w:val="20"/>
        </w:rPr>
        <w:t xml:space="preserve">Le titulaire s’engage à faire parvenir une attestation de formation pour chaque agent ayant suivi une formation. Cette attestation sera envoyée par courrier ou par courriel au Département GPEEC Formation qui la fera parvenir aux agents concernés. </w:t>
      </w:r>
    </w:p>
    <w:p w14:paraId="73F8A0BB">
      <w:pPr>
        <w:rPr>
          <w:sz w:val="20"/>
          <w:szCs w:val="20"/>
        </w:rPr>
      </w:pPr>
      <w:r>
        <w:rPr>
          <w:sz w:val="20"/>
          <w:szCs w:val="20"/>
        </w:rPr>
        <w:t>Le paiement de la prestation est subordonné à la fourniture de l’attestation de formation et, pour les formations en intra, de la feuille de présence émargée par les stagiaires.</w:t>
      </w:r>
    </w:p>
    <w:p w14:paraId="243B1DE5">
      <w:pPr>
        <w:pStyle w:val="4"/>
        <w:spacing w:after="120"/>
        <w:ind w:left="567" w:hanging="567"/>
        <w:rPr>
          <w:sz w:val="20"/>
          <w:szCs w:val="20"/>
        </w:rPr>
      </w:pPr>
      <w:r>
        <w:rPr>
          <w:sz w:val="20"/>
          <w:szCs w:val="20"/>
        </w:rPr>
        <w:t>Modalités d’inscription aux formations</w:t>
      </w:r>
    </w:p>
    <w:p w14:paraId="0AF6ACB1">
      <w:pPr>
        <w:rPr>
          <w:sz w:val="20"/>
          <w:szCs w:val="20"/>
        </w:rPr>
      </w:pPr>
      <w:r>
        <w:rPr>
          <w:sz w:val="20"/>
          <w:szCs w:val="20"/>
        </w:rPr>
        <w:t>Les demandes d’inscription aux sessions de formations seront transmises par le Département GPEEC Formation au titulaire par courrier ou par courriel. Toute demande émanant d’un agent ou de tout autre service de l’IGN sera considérée comme non valide.</w:t>
      </w:r>
    </w:p>
    <w:p w14:paraId="344BB541">
      <w:pPr>
        <w:pStyle w:val="4"/>
        <w:spacing w:after="120"/>
        <w:ind w:left="567" w:hanging="567"/>
        <w:rPr>
          <w:sz w:val="20"/>
          <w:szCs w:val="20"/>
        </w:rPr>
      </w:pPr>
      <w:r>
        <w:rPr>
          <w:sz w:val="20"/>
          <w:szCs w:val="20"/>
        </w:rPr>
        <w:t>Modalités d’annulation ou de changement de date</w:t>
      </w:r>
    </w:p>
    <w:p w14:paraId="577545DE">
      <w:pPr>
        <w:rPr>
          <w:sz w:val="20"/>
          <w:szCs w:val="20"/>
        </w:rPr>
      </w:pPr>
      <w:r>
        <w:rPr>
          <w:sz w:val="20"/>
          <w:szCs w:val="20"/>
        </w:rPr>
        <w:t>Sauf commun accord entre les parties, l’IGN pourra annuler des inscriptions à des sessions de formation ou modifier une date sans pénalités, sous réserve que ces annulations ou modifications interviennent au plus tard 1</w:t>
      </w:r>
      <w:r>
        <w:rPr>
          <w:rFonts w:ascii="Calibri" w:hAnsi="Calibri" w:cs="Calibri"/>
          <w:sz w:val="20"/>
          <w:szCs w:val="20"/>
        </w:rPr>
        <w:t> </w:t>
      </w:r>
      <w:r>
        <w:rPr>
          <w:sz w:val="20"/>
          <w:szCs w:val="20"/>
        </w:rPr>
        <w:t>mois avant la date de la formation.</w:t>
      </w:r>
    </w:p>
    <w:p w14:paraId="49064BE3">
      <w:pPr>
        <w:rPr>
          <w:sz w:val="20"/>
          <w:szCs w:val="20"/>
        </w:rPr>
      </w:pPr>
      <w:r>
        <w:rPr>
          <w:sz w:val="20"/>
          <w:szCs w:val="20"/>
        </w:rPr>
        <w:t>Toute demande d’annulation ou de modification intervenant entre 1</w:t>
      </w:r>
      <w:r>
        <w:rPr>
          <w:rFonts w:ascii="Calibri" w:hAnsi="Calibri" w:cs="Calibri"/>
          <w:sz w:val="20"/>
          <w:szCs w:val="20"/>
        </w:rPr>
        <w:t> </w:t>
      </w:r>
      <w:r>
        <w:rPr>
          <w:sz w:val="20"/>
          <w:szCs w:val="20"/>
        </w:rPr>
        <w:t>mois et 5</w:t>
      </w:r>
      <w:r>
        <w:rPr>
          <w:rFonts w:ascii="Calibri" w:hAnsi="Calibri" w:cs="Calibri"/>
          <w:sz w:val="20"/>
          <w:szCs w:val="20"/>
        </w:rPr>
        <w:t> </w:t>
      </w:r>
      <w:r>
        <w:rPr>
          <w:sz w:val="20"/>
          <w:szCs w:val="20"/>
        </w:rPr>
        <w:t>jours précédant la date de la formation entraînera une indemnité égale à 30</w:t>
      </w:r>
      <w:r>
        <w:rPr>
          <w:rFonts w:ascii="Calibri" w:hAnsi="Calibri" w:cs="Calibri"/>
          <w:sz w:val="20"/>
          <w:szCs w:val="20"/>
        </w:rPr>
        <w:t> </w:t>
      </w:r>
      <w:r>
        <w:rPr>
          <w:sz w:val="20"/>
          <w:szCs w:val="20"/>
        </w:rPr>
        <w:t>% du coût de la formation. Toute formation annulée ou modifiée dans les 5</w:t>
      </w:r>
      <w:r>
        <w:rPr>
          <w:rFonts w:ascii="Calibri" w:hAnsi="Calibri" w:cs="Calibri"/>
          <w:sz w:val="20"/>
          <w:szCs w:val="20"/>
        </w:rPr>
        <w:t> </w:t>
      </w:r>
      <w:r>
        <w:rPr>
          <w:sz w:val="20"/>
          <w:szCs w:val="20"/>
        </w:rPr>
        <w:t>jours précédant son commencement entraînera le paiement d’une indemnité de 50</w:t>
      </w:r>
      <w:r>
        <w:rPr>
          <w:rFonts w:ascii="Calibri" w:hAnsi="Calibri" w:cs="Calibri"/>
          <w:sz w:val="20"/>
          <w:szCs w:val="20"/>
        </w:rPr>
        <w:t> </w:t>
      </w:r>
      <w:r>
        <w:rPr>
          <w:sz w:val="20"/>
          <w:szCs w:val="20"/>
        </w:rPr>
        <w:t>% du coût de la formation.</w:t>
      </w:r>
    </w:p>
    <w:p w14:paraId="119A0F12">
      <w:pPr>
        <w:rPr>
          <w:sz w:val="20"/>
          <w:szCs w:val="20"/>
        </w:rPr>
      </w:pPr>
      <w:r>
        <w:rPr>
          <w:sz w:val="20"/>
          <w:szCs w:val="20"/>
        </w:rPr>
        <w:t>Toute formation commencée sera due en totalité.</w:t>
      </w:r>
    </w:p>
    <w:p w14:paraId="5E40E394">
      <w:pPr>
        <w:rPr>
          <w:sz w:val="20"/>
          <w:szCs w:val="20"/>
        </w:rPr>
      </w:pPr>
      <w:r>
        <w:rPr>
          <w:sz w:val="20"/>
          <w:szCs w:val="20"/>
        </w:rPr>
        <w:t>Par ailleurs, un agent IGN inscrit pourra être remplacé par un autre agent IGN à tout moment (avant le début d’une session) sans frais supplémentaire ou indemnité.</w:t>
      </w:r>
    </w:p>
    <w:p w14:paraId="7A678DE3">
      <w:pPr>
        <w:rPr>
          <w:sz w:val="20"/>
          <w:szCs w:val="20"/>
        </w:rPr>
      </w:pPr>
      <w:r>
        <w:rPr>
          <w:sz w:val="20"/>
          <w:szCs w:val="20"/>
        </w:rPr>
        <w:t>Les demandes d’annulation ou de modification de date seront transférées par courrier ou par courriel par le Département GPEEC Formation qui est le seul autorisé à annuler ou modifier une formation. Toute demande d’annulation émanant d’un agent ou de tout autre service de l’IGN sera considérée comme non valide.</w:t>
      </w:r>
    </w:p>
    <w:p w14:paraId="71BB3798">
      <w:pPr>
        <w:rPr>
          <w:sz w:val="20"/>
          <w:szCs w:val="20"/>
        </w:rPr>
      </w:pPr>
      <w:r>
        <w:rPr>
          <w:sz w:val="20"/>
          <w:szCs w:val="20"/>
        </w:rPr>
        <w:t>En cas d’annulation ou de modification de date par le titulaire, celui-ci s’engage à en informer le Département GPEEC Formation par courrier ou par courriel.</w:t>
      </w:r>
    </w:p>
    <w:p w14:paraId="3650C56B">
      <w:pPr>
        <w:rPr>
          <w:sz w:val="20"/>
          <w:szCs w:val="20"/>
        </w:rPr>
      </w:pPr>
      <w:r>
        <w:rPr>
          <w:sz w:val="20"/>
          <w:szCs w:val="20"/>
        </w:rPr>
        <w:t>Aucun paiement de formation annulée par le titulaire ne pourra être exigé par celui-ci.</w:t>
      </w:r>
    </w:p>
    <w:p w14:paraId="67D3C873">
      <w:pPr>
        <w:rPr>
          <w:rFonts w:ascii="Arial" w:hAnsi="Arial" w:eastAsia="Times New Roman" w:cs="Arial"/>
          <w:bCs/>
          <w:sz w:val="20"/>
          <w:szCs w:val="20"/>
          <w:lang w:eastAsia="fr-FR"/>
        </w:rPr>
      </w:pPr>
      <w:r>
        <w:rPr>
          <w:sz w:val="20"/>
          <w:szCs w:val="20"/>
        </w:rPr>
        <w:t>En cas d’annulation ou de modification notamment en raison d’un nombre insuffisant de stagiaires inscrits, le titulaire proposera à l’IGN une inscription en priorité à une prochaine session de la même formation.</w:t>
      </w:r>
    </w:p>
    <w:p w14:paraId="53B275CF">
      <w:pPr>
        <w:pStyle w:val="4"/>
        <w:spacing w:after="120"/>
        <w:ind w:left="567" w:hanging="567"/>
        <w:rPr>
          <w:sz w:val="20"/>
          <w:szCs w:val="20"/>
        </w:rPr>
      </w:pPr>
      <w:r>
        <w:rPr>
          <w:sz w:val="20"/>
          <w:szCs w:val="20"/>
        </w:rPr>
        <w:t>Évaluation des formations</w:t>
      </w:r>
    </w:p>
    <w:p w14:paraId="6CE5EAC1">
      <w:pPr>
        <w:rPr>
          <w:sz w:val="20"/>
          <w:szCs w:val="20"/>
        </w:rPr>
      </w:pPr>
      <w:r>
        <w:rPr>
          <w:sz w:val="20"/>
          <w:szCs w:val="20"/>
        </w:rPr>
        <w:t>Le titulaire s’engage à mettre en œuvre un dispositif d’évaluation dont le résultat est communiqué au Département GPEEC Formation. Lorsque le taux de satisfaction des stagiaires est inférieur à la moyenne, l’IGN et le titulaire se concertent pour établir un diagnostic et, s’il y a lieu, mettre en place des mesures correctives.</w:t>
      </w:r>
    </w:p>
    <w:p w14:paraId="066E15EA">
      <w:pPr>
        <w:pStyle w:val="3"/>
        <w:rPr>
          <w:sz w:val="20"/>
          <w:szCs w:val="20"/>
        </w:rPr>
      </w:pPr>
      <w:r>
        <w:rPr>
          <w:sz w:val="20"/>
          <w:szCs w:val="20"/>
        </w:rPr>
        <w:t xml:space="preserve">Prix </w:t>
      </w:r>
    </w:p>
    <w:p w14:paraId="484B6F13">
      <w:pPr>
        <w:rPr>
          <w:sz w:val="20"/>
          <w:szCs w:val="20"/>
        </w:rPr>
      </w:pPr>
      <w:r>
        <w:rPr>
          <w:sz w:val="20"/>
          <w:szCs w:val="20"/>
        </w:rPr>
        <w:t>La monnaie de référence est l’euro. Le taux de TVA applicable est celui en vigueur au moment du fait générateur.</w:t>
      </w:r>
    </w:p>
    <w:p w14:paraId="10F1072B">
      <w:pPr>
        <w:rPr>
          <w:sz w:val="20"/>
          <w:szCs w:val="20"/>
        </w:rPr>
      </w:pPr>
      <w:r>
        <w:rPr>
          <w:sz w:val="20"/>
          <w:szCs w:val="20"/>
        </w:rPr>
        <w:t>Les prix sont réputés comprendre toutes les charges fiscales, parafiscales ou autres frappant obligatoirement la prestation. Ils comprennent également l’ensemble des frais afférents aux éléments constitutifs de la prestation, ainsi que tous les éventuels frais annexes (repas, fourniture et acheminement de supports, déplacement du formateur, frais divers de secrétariat, etc.) pour son exécution complète.</w:t>
      </w:r>
    </w:p>
    <w:p w14:paraId="7658F4CA">
      <w:pPr>
        <w:rPr>
          <w:sz w:val="20"/>
          <w:szCs w:val="20"/>
        </w:rPr>
      </w:pPr>
      <w:r>
        <w:rPr>
          <w:sz w:val="20"/>
          <w:szCs w:val="20"/>
        </w:rPr>
        <w:t>Le titulaire est rémunéré par</w:t>
      </w:r>
      <w:r>
        <w:rPr>
          <w:rFonts w:ascii="Calibri" w:hAnsi="Calibri" w:cs="Calibri"/>
          <w:sz w:val="20"/>
          <w:szCs w:val="20"/>
        </w:rPr>
        <w:t> </w:t>
      </w:r>
      <w:r>
        <w:rPr>
          <w:sz w:val="20"/>
          <w:szCs w:val="20"/>
        </w:rPr>
        <w:t>:</w:t>
      </w:r>
    </w:p>
    <w:p w14:paraId="4F0F2C9B">
      <w:pPr>
        <w:rPr>
          <w:rFonts w:hint="default"/>
          <w:b w:val="0"/>
          <w:bCs w:val="0"/>
          <w:sz w:val="20"/>
          <w:szCs w:val="20"/>
          <w:highlight w:val="none"/>
          <w:lang w:val="fr-FR"/>
        </w:rPr>
      </w:pPr>
      <w:sdt>
        <w:sdtPr>
          <w:rPr>
            <w:sz w:val="20"/>
            <w:szCs w:val="20"/>
          </w:rPr>
          <w:id w:val="-13078417"/>
          <w14:checkbox>
            <w14:checked w14:val="0"/>
            <w14:checkedState w14:val="2612" w14:font="MS Gothic"/>
            <w14:uncheckedState w14:val="2610" w14:font="MS Gothic"/>
          </w14:checkbox>
        </w:sdtPr>
        <w:sdtEndPr>
          <w:rPr>
            <w:sz w:val="20"/>
            <w:szCs w:val="20"/>
          </w:rPr>
        </w:sdtEndPr>
        <w:sdtContent>
          <w:r>
            <w:rPr>
              <w:rFonts w:hint="eastAsia" w:ascii="MS Gothic" w:hAnsi="MS Gothic" w:eastAsia="MS Gothic" w:cstheme="minorBidi"/>
              <w:color w:val="000000" w:themeColor="text1"/>
              <w:sz w:val="20"/>
              <w:szCs w:val="20"/>
              <w:lang w:val="fr-FR" w:eastAsia="en-US" w:bidi="ar-SA"/>
              <w14:textFill>
                <w14:solidFill>
                  <w14:schemeClr w14:val="tx1"/>
                </w14:solidFill>
              </w14:textFill>
            </w:rPr>
            <w:t>☐</w:t>
          </w:r>
        </w:sdtContent>
      </w:sdt>
      <w:r>
        <w:rPr>
          <w:sz w:val="20"/>
          <w:szCs w:val="20"/>
        </w:rPr>
        <w:t xml:space="preserve"> </w:t>
      </w:r>
      <w:r>
        <w:rPr>
          <w:b w:val="0"/>
          <w:bCs w:val="0"/>
          <w:sz w:val="20"/>
          <w:szCs w:val="20"/>
          <w:highlight w:val="none"/>
        </w:rPr>
        <w:t>Un prix global et forfaitaire</w:t>
      </w:r>
      <w:r>
        <w:rPr>
          <w:rFonts w:hint="default"/>
          <w:b w:val="0"/>
          <w:bCs w:val="0"/>
          <w:sz w:val="20"/>
          <w:szCs w:val="20"/>
          <w:highlight w:val="none"/>
          <w:lang w:val="fr-FR"/>
        </w:rPr>
        <w:t>.</w:t>
      </w:r>
    </w:p>
    <w:p w14:paraId="77ED4568">
      <w:pPr>
        <w:rPr>
          <w:rStyle w:val="15"/>
          <w:b/>
          <w:bCs w:val="0"/>
          <w:sz w:val="20"/>
          <w:szCs w:val="20"/>
          <w:highlight w:val="yellow"/>
        </w:rPr>
      </w:pPr>
      <w:sdt>
        <w:sdtPr>
          <w:rPr>
            <w:rStyle w:val="15"/>
            <w:b w:val="0"/>
            <w:bCs/>
            <w:sz w:val="20"/>
            <w:szCs w:val="20"/>
          </w:rPr>
          <w:id w:val="1457294357"/>
          <w14:checkbox>
            <w14:checked w14:val="1"/>
            <w14:checkedState w14:val="2612" w14:font="MS Gothic"/>
            <w14:uncheckedState w14:val="2610" w14:font="MS Gothic"/>
          </w14:checkbox>
        </w:sdtPr>
        <w:sdtEndPr>
          <w:rPr>
            <w:rStyle w:val="15"/>
            <w:b/>
            <w:bCs w:val="0"/>
            <w:sz w:val="20"/>
            <w:szCs w:val="20"/>
            <w:highlight w:val="yellow"/>
          </w:rPr>
        </w:sdtEndPr>
        <w:sdtContent>
          <w:r>
            <w:rPr>
              <w:rFonts w:hint="eastAsia" w:ascii="MS Gothic" w:hAnsi="MS Gothic" w:eastAsia="MS Gothic" w:cstheme="minorBidi"/>
              <w:b w:val="0"/>
              <w:bCs/>
              <w:iCs/>
              <w:color w:val="000000" w:themeColor="text1"/>
              <w:sz w:val="20"/>
              <w:szCs w:val="20"/>
              <w:lang w:val="fr-FR" w:eastAsia="en-US" w:bidi="ar-SA"/>
              <w14:textFill>
                <w14:solidFill>
                  <w14:schemeClr w14:val="tx1"/>
                </w14:solidFill>
              </w14:textFill>
            </w:rPr>
            <w:t>☒</w:t>
          </w:r>
        </w:sdtContent>
      </w:sdt>
      <w:r>
        <w:rPr>
          <w:rStyle w:val="15"/>
          <w:b/>
          <w:bCs w:val="0"/>
          <w:sz w:val="20"/>
          <w:szCs w:val="20"/>
          <w:highlight w:val="yellow"/>
        </w:rPr>
        <w:t xml:space="preserve"> Des prix unitaires</w:t>
      </w:r>
      <w:r>
        <w:rPr>
          <w:rStyle w:val="15"/>
          <w:rFonts w:ascii="Calibri" w:hAnsi="Calibri" w:cs="Calibri"/>
          <w:b/>
          <w:bCs w:val="0"/>
          <w:sz w:val="20"/>
          <w:szCs w:val="20"/>
          <w:highlight w:val="yellow"/>
        </w:rPr>
        <w:t> </w:t>
      </w:r>
      <w:r>
        <w:rPr>
          <w:rStyle w:val="15"/>
          <w:b/>
          <w:bCs w:val="0"/>
          <w:sz w:val="20"/>
          <w:szCs w:val="20"/>
          <w:highlight w:val="yellow"/>
        </w:rPr>
        <w:t>:</w:t>
      </w:r>
    </w:p>
    <w:p w14:paraId="6472FEA2">
      <w:pPr>
        <w:pStyle w:val="17"/>
        <w:rPr>
          <w:b w:val="0"/>
          <w:bCs/>
          <w:sz w:val="20"/>
          <w:szCs w:val="20"/>
          <w:highlight w:val="none"/>
        </w:rPr>
      </w:pPr>
      <w:sdt>
        <w:sdtPr>
          <w:rPr>
            <w:rStyle w:val="15"/>
            <w:rFonts w:eastAsia="MS Gothic"/>
            <w:b w:val="0"/>
            <w:bCs/>
            <w:sz w:val="20"/>
            <w:szCs w:val="20"/>
            <w:highlight w:val="none"/>
          </w:rPr>
          <w:id w:val="571093356"/>
          <w14:checkbox>
            <w14:checked w14:val="0"/>
            <w14:checkedState w14:val="2612" w14:font="MS Gothic"/>
            <w14:uncheckedState w14:val="2610" w14:font="MS Gothic"/>
          </w14:checkbox>
        </w:sdtPr>
        <w:sdtEndPr>
          <w:rPr>
            <w:rStyle w:val="15"/>
            <w:rFonts w:eastAsia="MS Gothic"/>
            <w:b w:val="0"/>
            <w:bCs/>
            <w:sz w:val="20"/>
            <w:szCs w:val="20"/>
            <w:highlight w:val="none"/>
          </w:rPr>
        </w:sdtEndPr>
        <w:sdtContent>
          <w:r>
            <w:rPr>
              <w:rFonts w:hint="eastAsia" w:ascii="MS Gothic" w:hAnsi="MS Gothic" w:eastAsia="MS Gothic" w:cs="Arial"/>
              <w:b w:val="0"/>
              <w:bCs/>
              <w:iCs/>
              <w:color w:val="auto"/>
              <w:sz w:val="20"/>
              <w:szCs w:val="20"/>
              <w:highlight w:val="none"/>
              <w:lang w:val="fr-FR" w:eastAsia="fr-FR" w:bidi="ar-SA"/>
            </w:rPr>
            <w:t>☐</w:t>
          </w:r>
        </w:sdtContent>
      </w:sdt>
      <w:r>
        <w:rPr>
          <w:rStyle w:val="15"/>
          <w:rFonts w:eastAsia="MS Gothic"/>
          <w:b w:val="0"/>
          <w:bCs/>
          <w:sz w:val="20"/>
          <w:szCs w:val="20"/>
          <w:highlight w:val="none"/>
        </w:rPr>
        <w:t xml:space="preserve"> </w:t>
      </w:r>
      <w:r>
        <w:rPr>
          <w:rStyle w:val="15"/>
          <w:b w:val="0"/>
          <w:bCs/>
          <w:sz w:val="20"/>
          <w:szCs w:val="20"/>
          <w:highlight w:val="none"/>
        </w:rPr>
        <w:t>Par session (intra-entreprise)</w:t>
      </w:r>
    </w:p>
    <w:p w14:paraId="252F3DF4">
      <w:pPr>
        <w:pStyle w:val="17"/>
        <w:rPr>
          <w:b/>
          <w:bCs w:val="0"/>
          <w:sz w:val="20"/>
          <w:szCs w:val="20"/>
          <w:highlight w:val="yellow"/>
        </w:rPr>
      </w:pPr>
      <w:sdt>
        <w:sdtPr>
          <w:rPr>
            <w:b w:val="0"/>
            <w:bCs/>
            <w:sz w:val="20"/>
            <w:szCs w:val="20"/>
            <w:highlight w:val="none"/>
          </w:rPr>
          <w:id w:val="-929893682"/>
          <w14:checkbox>
            <w14:checked w14:val="1"/>
            <w14:checkedState w14:val="2612" w14:font="MS Gothic"/>
            <w14:uncheckedState w14:val="2610" w14:font="MS Gothic"/>
          </w14:checkbox>
        </w:sdtPr>
        <w:sdtEndPr>
          <w:rPr>
            <w:b w:val="0"/>
            <w:bCs/>
            <w:sz w:val="20"/>
            <w:szCs w:val="20"/>
            <w:highlight w:val="none"/>
          </w:rPr>
        </w:sdtEndPr>
        <w:sdtContent>
          <w:r>
            <w:rPr>
              <w:rFonts w:hint="eastAsia" w:ascii="MS Gothic" w:hAnsi="MS Gothic" w:eastAsia="MS Gothic" w:cs="Arial"/>
              <w:b w:val="0"/>
              <w:bCs/>
              <w:color w:val="auto"/>
              <w:sz w:val="20"/>
              <w:szCs w:val="20"/>
              <w:highlight w:val="none"/>
              <w:lang w:val="fr-FR" w:eastAsia="fr-FR" w:bidi="ar-SA"/>
            </w:rPr>
            <w:t>☒</w:t>
          </w:r>
        </w:sdtContent>
      </w:sdt>
      <w:r>
        <w:rPr>
          <w:b w:val="0"/>
          <w:bCs/>
          <w:sz w:val="20"/>
          <w:szCs w:val="20"/>
          <w:highlight w:val="none"/>
        </w:rPr>
        <w:t xml:space="preserve"> </w:t>
      </w:r>
      <w:r>
        <w:rPr>
          <w:b/>
          <w:bCs w:val="0"/>
          <w:sz w:val="20"/>
          <w:szCs w:val="20"/>
          <w:highlight w:val="yellow"/>
        </w:rPr>
        <w:t>Par participant</w:t>
      </w:r>
    </w:p>
    <w:p w14:paraId="7D955ABF">
      <w:pPr>
        <w:rPr>
          <w:sz w:val="20"/>
          <w:szCs w:val="20"/>
        </w:rPr>
      </w:pPr>
      <w:r>
        <w:rPr>
          <w:sz w:val="20"/>
          <w:szCs w:val="20"/>
        </w:rPr>
        <w:t>Le prix est ferme. Il est indiqué dans l’annexe financière.</w:t>
      </w:r>
    </w:p>
    <w:p w14:paraId="25F2D71F">
      <w:pPr>
        <w:pStyle w:val="67"/>
        <w:rPr>
          <w:sz w:val="20"/>
          <w:szCs w:val="20"/>
        </w:rPr>
      </w:pPr>
      <w:r>
        <w:rPr>
          <w:sz w:val="20"/>
          <w:szCs w:val="20"/>
        </w:rPr>
        <w:t>Facturation et paiement</w:t>
      </w:r>
    </w:p>
    <w:p w14:paraId="3A521266">
      <w:pPr>
        <w:pStyle w:val="4"/>
        <w:spacing w:after="120"/>
        <w:rPr>
          <w:sz w:val="20"/>
          <w:szCs w:val="20"/>
        </w:rPr>
      </w:pPr>
      <w:r>
        <w:rPr>
          <w:sz w:val="20"/>
          <w:szCs w:val="20"/>
        </w:rPr>
        <w:t>Émission des factures</w:t>
      </w:r>
    </w:p>
    <w:p w14:paraId="09A47A50">
      <w:pPr>
        <w:rPr>
          <w:sz w:val="20"/>
          <w:szCs w:val="20"/>
        </w:rPr>
      </w:pPr>
      <w:r>
        <w:rPr>
          <w:sz w:val="20"/>
          <w:szCs w:val="20"/>
        </w:rPr>
        <w:t>Le titulaire est rémunéré après constatation du service fait.</w:t>
      </w:r>
    </w:p>
    <w:p w14:paraId="040EF917">
      <w:pPr>
        <w:rPr>
          <w:sz w:val="20"/>
          <w:szCs w:val="20"/>
        </w:rPr>
      </w:pPr>
      <w:r>
        <w:rPr>
          <w:sz w:val="20"/>
          <w:szCs w:val="20"/>
        </w:rPr>
        <w:t>Les factures sont émises à l’issue d’une prestation ou de l’exécution totale d’un bon de commande, et après réception par l’IGN de l’attestation de formation.</w:t>
      </w:r>
    </w:p>
    <w:p w14:paraId="0E3F6AB7">
      <w:pPr>
        <w:rPr>
          <w:sz w:val="20"/>
          <w:szCs w:val="20"/>
        </w:rPr>
      </w:pPr>
      <w:r>
        <w:rPr>
          <w:sz w:val="20"/>
          <w:szCs w:val="20"/>
        </w:rPr>
        <w:t>Les factures portent, outre les mentions légales, les indications suivantes</w:t>
      </w:r>
      <w:r>
        <w:rPr>
          <w:rFonts w:ascii="Calibri" w:hAnsi="Calibri" w:cs="Calibri"/>
          <w:sz w:val="20"/>
          <w:szCs w:val="20"/>
        </w:rPr>
        <w:t> </w:t>
      </w:r>
      <w:r>
        <w:rPr>
          <w:sz w:val="20"/>
          <w:szCs w:val="20"/>
        </w:rPr>
        <w:t>:</w:t>
      </w:r>
    </w:p>
    <w:p w14:paraId="01F4969F">
      <w:pPr>
        <w:pStyle w:val="31"/>
        <w:rPr>
          <w:sz w:val="20"/>
          <w:szCs w:val="20"/>
        </w:rPr>
      </w:pPr>
      <w:r>
        <w:rPr>
          <w:sz w:val="20"/>
          <w:szCs w:val="20"/>
        </w:rPr>
        <w:t>Le numéro SIRET de l’IGN : 180</w:t>
      </w:r>
      <w:r>
        <w:rPr>
          <w:rFonts w:ascii="Calibri" w:hAnsi="Calibri" w:cs="Calibri"/>
          <w:sz w:val="20"/>
          <w:szCs w:val="20"/>
        </w:rPr>
        <w:t> </w:t>
      </w:r>
      <w:r>
        <w:rPr>
          <w:sz w:val="20"/>
          <w:szCs w:val="20"/>
        </w:rPr>
        <w:t>067</w:t>
      </w:r>
      <w:r>
        <w:rPr>
          <w:rFonts w:ascii="Calibri" w:hAnsi="Calibri" w:cs="Calibri"/>
          <w:sz w:val="20"/>
          <w:szCs w:val="20"/>
        </w:rPr>
        <w:t> </w:t>
      </w:r>
      <w:r>
        <w:rPr>
          <w:sz w:val="20"/>
          <w:szCs w:val="20"/>
        </w:rPr>
        <w:t>019 00430</w:t>
      </w:r>
      <w:r>
        <w:rPr>
          <w:rFonts w:ascii="Calibri" w:hAnsi="Calibri" w:cs="Calibri"/>
          <w:sz w:val="20"/>
          <w:szCs w:val="20"/>
        </w:rPr>
        <w:t> </w:t>
      </w:r>
      <w:r>
        <w:rPr>
          <w:sz w:val="20"/>
          <w:szCs w:val="20"/>
        </w:rPr>
        <w:t>;</w:t>
      </w:r>
    </w:p>
    <w:p w14:paraId="2CB3D250">
      <w:pPr>
        <w:pStyle w:val="31"/>
        <w:rPr>
          <w:sz w:val="20"/>
          <w:szCs w:val="20"/>
        </w:rPr>
      </w:pPr>
      <w:r>
        <w:rPr>
          <w:sz w:val="20"/>
          <w:szCs w:val="20"/>
        </w:rPr>
        <w:t>Le cas échéant, le numéro du bon de commande (engagement)</w:t>
      </w:r>
      <w:r>
        <w:rPr>
          <w:rFonts w:ascii="Calibri" w:hAnsi="Calibri" w:cs="Calibri"/>
          <w:sz w:val="20"/>
          <w:szCs w:val="20"/>
        </w:rPr>
        <w:t> </w:t>
      </w:r>
      <w:r>
        <w:rPr>
          <w:sz w:val="20"/>
          <w:szCs w:val="20"/>
        </w:rPr>
        <w:t>;</w:t>
      </w:r>
    </w:p>
    <w:p w14:paraId="60A81DA0">
      <w:pPr>
        <w:pStyle w:val="31"/>
        <w:rPr>
          <w:sz w:val="20"/>
          <w:szCs w:val="20"/>
        </w:rPr>
      </w:pPr>
      <w:r>
        <w:rPr>
          <w:sz w:val="20"/>
          <w:szCs w:val="20"/>
        </w:rPr>
        <w:t>La référence du service prescripteur de l’IGN</w:t>
      </w:r>
      <w:r>
        <w:rPr>
          <w:rFonts w:ascii="Calibri" w:hAnsi="Calibri" w:cs="Calibri"/>
          <w:sz w:val="20"/>
          <w:szCs w:val="20"/>
        </w:rPr>
        <w:t> </w:t>
      </w:r>
      <w:r>
        <w:rPr>
          <w:sz w:val="20"/>
          <w:szCs w:val="20"/>
        </w:rPr>
        <w:t>: Département GPEEC Formation ;</w:t>
      </w:r>
    </w:p>
    <w:p w14:paraId="2092279B">
      <w:pPr>
        <w:pStyle w:val="31"/>
        <w:rPr>
          <w:sz w:val="20"/>
          <w:szCs w:val="20"/>
        </w:rPr>
      </w:pPr>
      <w:r>
        <w:rPr>
          <w:sz w:val="20"/>
          <w:szCs w:val="20"/>
        </w:rPr>
        <w:t>La date d'émission de la facture</w:t>
      </w:r>
      <w:r>
        <w:rPr>
          <w:rFonts w:ascii="Calibri" w:hAnsi="Calibri" w:cs="Calibri"/>
          <w:sz w:val="20"/>
          <w:szCs w:val="20"/>
        </w:rPr>
        <w:t> </w:t>
      </w:r>
      <w:r>
        <w:rPr>
          <w:sz w:val="20"/>
          <w:szCs w:val="20"/>
        </w:rPr>
        <w:t>;</w:t>
      </w:r>
    </w:p>
    <w:p w14:paraId="4F14D46F">
      <w:pPr>
        <w:pStyle w:val="31"/>
        <w:rPr>
          <w:sz w:val="20"/>
          <w:szCs w:val="20"/>
        </w:rPr>
      </w:pPr>
      <w:r>
        <w:rPr>
          <w:sz w:val="20"/>
          <w:szCs w:val="20"/>
        </w:rPr>
        <w:t>Les coordonnées bancaires du titulaire</w:t>
      </w:r>
      <w:r>
        <w:rPr>
          <w:rFonts w:ascii="Calibri" w:hAnsi="Calibri" w:cs="Calibri"/>
          <w:sz w:val="20"/>
          <w:szCs w:val="20"/>
        </w:rPr>
        <w:t> </w:t>
      </w:r>
      <w:r>
        <w:rPr>
          <w:sz w:val="20"/>
          <w:szCs w:val="20"/>
        </w:rPr>
        <w:t>;</w:t>
      </w:r>
    </w:p>
    <w:p w14:paraId="6B6C53E2">
      <w:pPr>
        <w:pStyle w:val="31"/>
        <w:rPr>
          <w:sz w:val="20"/>
          <w:szCs w:val="20"/>
        </w:rPr>
      </w:pPr>
      <w:r>
        <w:rPr>
          <w:sz w:val="20"/>
          <w:szCs w:val="20"/>
        </w:rPr>
        <w:t>Le détail des prestations exécutées</w:t>
      </w:r>
      <w:r>
        <w:rPr>
          <w:rFonts w:ascii="Calibri" w:hAnsi="Calibri" w:cs="Calibri"/>
          <w:sz w:val="20"/>
          <w:szCs w:val="20"/>
        </w:rPr>
        <w:t> </w:t>
      </w:r>
      <w:r>
        <w:rPr>
          <w:sz w:val="20"/>
          <w:szCs w:val="20"/>
        </w:rPr>
        <w:t>;</w:t>
      </w:r>
    </w:p>
    <w:p w14:paraId="7EB82D36">
      <w:pPr>
        <w:pStyle w:val="31"/>
        <w:rPr>
          <w:sz w:val="20"/>
          <w:szCs w:val="20"/>
        </w:rPr>
      </w:pPr>
      <w:r>
        <w:rPr>
          <w:sz w:val="20"/>
          <w:szCs w:val="20"/>
        </w:rPr>
        <w:t>Le montant hors taxes</w:t>
      </w:r>
      <w:r>
        <w:rPr>
          <w:rFonts w:ascii="Calibri" w:hAnsi="Calibri" w:cs="Calibri"/>
          <w:sz w:val="20"/>
          <w:szCs w:val="20"/>
        </w:rPr>
        <w:t> </w:t>
      </w:r>
      <w:r>
        <w:rPr>
          <w:sz w:val="20"/>
          <w:szCs w:val="20"/>
        </w:rPr>
        <w:t>;</w:t>
      </w:r>
    </w:p>
    <w:p w14:paraId="1CBF7B77">
      <w:pPr>
        <w:pStyle w:val="31"/>
        <w:rPr>
          <w:sz w:val="20"/>
          <w:szCs w:val="20"/>
        </w:rPr>
      </w:pPr>
      <w:r>
        <w:rPr>
          <w:sz w:val="20"/>
          <w:szCs w:val="20"/>
        </w:rPr>
        <w:t>Le montant et le taux de la TVA</w:t>
      </w:r>
      <w:r>
        <w:rPr>
          <w:rFonts w:ascii="Calibri" w:hAnsi="Calibri" w:cs="Calibri"/>
          <w:sz w:val="20"/>
          <w:szCs w:val="20"/>
        </w:rPr>
        <w:t> </w:t>
      </w:r>
      <w:r>
        <w:rPr>
          <w:sz w:val="20"/>
          <w:szCs w:val="20"/>
        </w:rPr>
        <w:t>;</w:t>
      </w:r>
    </w:p>
    <w:p w14:paraId="1B0848B1">
      <w:pPr>
        <w:pStyle w:val="31"/>
        <w:rPr>
          <w:sz w:val="20"/>
          <w:szCs w:val="20"/>
        </w:rPr>
      </w:pPr>
      <w:r>
        <w:rPr>
          <w:sz w:val="20"/>
          <w:szCs w:val="20"/>
        </w:rPr>
        <w:t>Le montant total toutes taxes comprises</w:t>
      </w:r>
      <w:r>
        <w:rPr>
          <w:rFonts w:ascii="Calibri" w:hAnsi="Calibri" w:cs="Calibri"/>
          <w:sz w:val="20"/>
          <w:szCs w:val="20"/>
        </w:rPr>
        <w:t> </w:t>
      </w:r>
      <w:r>
        <w:rPr>
          <w:sz w:val="20"/>
          <w:szCs w:val="20"/>
        </w:rPr>
        <w:t>;</w:t>
      </w:r>
    </w:p>
    <w:p w14:paraId="72CE5B42">
      <w:pPr>
        <w:pStyle w:val="31"/>
        <w:rPr>
          <w:sz w:val="20"/>
          <w:szCs w:val="20"/>
        </w:rPr>
      </w:pPr>
      <w:r>
        <w:rPr>
          <w:sz w:val="20"/>
          <w:szCs w:val="20"/>
        </w:rPr>
        <w:t>Le numéro de TVA intracommunautaire du titulaire.</w:t>
      </w:r>
    </w:p>
    <w:p w14:paraId="6134C157">
      <w:pPr>
        <w:pStyle w:val="4"/>
        <w:spacing w:after="120"/>
        <w:rPr>
          <w:sz w:val="20"/>
          <w:szCs w:val="20"/>
        </w:rPr>
      </w:pPr>
      <w:r>
        <w:rPr>
          <w:sz w:val="20"/>
          <w:szCs w:val="20"/>
        </w:rPr>
        <w:t>Dépôt de la facture sur Chorus Pro</w:t>
      </w:r>
    </w:p>
    <w:p w14:paraId="103F5A28">
      <w:pPr>
        <w:rPr>
          <w:sz w:val="20"/>
          <w:szCs w:val="20"/>
        </w:rPr>
      </w:pPr>
      <w:r>
        <w:rPr>
          <w:sz w:val="20"/>
          <w:szCs w:val="20"/>
        </w:rPr>
        <w:t>Les factures doivent être déposées sur le portail Chorus Pro.</w:t>
      </w:r>
    </w:p>
    <w:p w14:paraId="02A0AAAC">
      <w:pPr>
        <w:rPr>
          <w:sz w:val="20"/>
          <w:szCs w:val="20"/>
        </w:rPr>
      </w:pPr>
      <w:r>
        <w:rPr>
          <w:sz w:val="20"/>
          <w:szCs w:val="20"/>
        </w:rPr>
        <w:t>Une documentation relative au fonctionnement de la plateforme Chorus Pro est consultable à l’adresse suivante :</w:t>
      </w:r>
    </w:p>
    <w:p w14:paraId="68C03930">
      <w:pPr>
        <w:rPr>
          <w:sz w:val="20"/>
          <w:szCs w:val="20"/>
        </w:rPr>
      </w:pPr>
      <w:r>
        <w:fldChar w:fldCharType="begin"/>
      </w:r>
      <w:r>
        <w:instrText xml:space="preserve"> HYPERLINK "https://communaute.chorus-pro.gouv.fr/emetteur-de-factures-electroniques/" </w:instrText>
      </w:r>
      <w:r>
        <w:fldChar w:fldCharType="separate"/>
      </w:r>
      <w:r>
        <w:rPr>
          <w:rStyle w:val="12"/>
          <w:sz w:val="20"/>
          <w:szCs w:val="20"/>
        </w:rPr>
        <w:t>https://communaute.chorus-pro.gouv.fr/emetteur-de-factures-electroniques/</w:t>
      </w:r>
      <w:r>
        <w:rPr>
          <w:rStyle w:val="12"/>
          <w:sz w:val="20"/>
          <w:szCs w:val="20"/>
        </w:rPr>
        <w:fldChar w:fldCharType="end"/>
      </w:r>
    </w:p>
    <w:p w14:paraId="1EB53D57">
      <w:pPr>
        <w:rPr>
          <w:sz w:val="20"/>
          <w:szCs w:val="20"/>
        </w:rPr>
      </w:pPr>
      <w:r>
        <w:rPr>
          <w:sz w:val="20"/>
          <w:szCs w:val="20"/>
        </w:rPr>
        <w:t>Il est précisé que l’IGN n’utilise pas de n° service exécutant dans Chorus Pro.</w:t>
      </w:r>
    </w:p>
    <w:p w14:paraId="4B8CF285">
      <w:pPr>
        <w:pStyle w:val="67"/>
        <w:rPr>
          <w:sz w:val="20"/>
          <w:szCs w:val="20"/>
        </w:rPr>
      </w:pPr>
      <w:r>
        <w:rPr>
          <w:sz w:val="20"/>
          <w:szCs w:val="20"/>
        </w:rPr>
        <w:t>Toute question relative à la facturation ou au paiement doit être adressée au service facturier de l’Agence comptable de l’IGN</w:t>
      </w:r>
      <w:r>
        <w:rPr>
          <w:rFonts w:ascii="Calibri" w:hAnsi="Calibri" w:cs="Calibri"/>
          <w:sz w:val="20"/>
          <w:szCs w:val="20"/>
        </w:rPr>
        <w:t> </w:t>
      </w:r>
      <w:r>
        <w:rPr>
          <w:sz w:val="20"/>
          <w:szCs w:val="20"/>
        </w:rPr>
        <w:t>:</w:t>
      </w:r>
    </w:p>
    <w:p w14:paraId="4C94C29A">
      <w:pPr>
        <w:pStyle w:val="31"/>
        <w:rPr>
          <w:sz w:val="20"/>
          <w:szCs w:val="20"/>
        </w:rPr>
      </w:pPr>
      <w:r>
        <w:rPr>
          <w:sz w:val="20"/>
          <w:szCs w:val="20"/>
        </w:rPr>
        <w:t>Tél.</w:t>
      </w:r>
      <w:r>
        <w:rPr>
          <w:rFonts w:ascii="Calibri" w:hAnsi="Calibri" w:cs="Calibri"/>
          <w:sz w:val="20"/>
          <w:szCs w:val="20"/>
        </w:rPr>
        <w:t> </w:t>
      </w:r>
      <w:r>
        <w:rPr>
          <w:sz w:val="20"/>
          <w:szCs w:val="20"/>
        </w:rPr>
        <w:t>: 01 43 98 83 11</w:t>
      </w:r>
    </w:p>
    <w:p w14:paraId="5B363F23">
      <w:pPr>
        <w:pStyle w:val="31"/>
        <w:rPr>
          <w:sz w:val="20"/>
          <w:szCs w:val="20"/>
        </w:rPr>
      </w:pPr>
      <w:r>
        <w:rPr>
          <w:sz w:val="20"/>
          <w:szCs w:val="20"/>
        </w:rPr>
        <w:t xml:space="preserve">Courriel : </w:t>
      </w:r>
      <w:r>
        <w:fldChar w:fldCharType="begin"/>
      </w:r>
      <w:r>
        <w:instrText xml:space="preserve"> HYPERLINK "mailto:service.facturier@ign.fr" </w:instrText>
      </w:r>
      <w:r>
        <w:fldChar w:fldCharType="separate"/>
      </w:r>
      <w:r>
        <w:rPr>
          <w:rStyle w:val="12"/>
          <w:sz w:val="20"/>
          <w:szCs w:val="20"/>
        </w:rPr>
        <w:t>service.facturier@ign.fr</w:t>
      </w:r>
      <w:r>
        <w:rPr>
          <w:rStyle w:val="12"/>
          <w:sz w:val="20"/>
          <w:szCs w:val="20"/>
        </w:rPr>
        <w:fldChar w:fldCharType="end"/>
      </w:r>
    </w:p>
    <w:p w14:paraId="3F1BE0F3">
      <w:pPr>
        <w:pStyle w:val="4"/>
        <w:spacing w:after="120"/>
        <w:rPr>
          <w:sz w:val="20"/>
          <w:szCs w:val="20"/>
        </w:rPr>
      </w:pPr>
      <w:r>
        <w:rPr>
          <w:sz w:val="20"/>
          <w:szCs w:val="20"/>
        </w:rPr>
        <w:t>Modalités de paiement</w:t>
      </w:r>
    </w:p>
    <w:p w14:paraId="2B91AD42">
      <w:pPr>
        <w:rPr>
          <w:sz w:val="20"/>
          <w:szCs w:val="20"/>
        </w:rPr>
      </w:pPr>
      <w:r>
        <w:rPr>
          <w:sz w:val="20"/>
          <w:szCs w:val="20"/>
        </w:rPr>
        <w:t>Les paiements s’effectuent par virement administratif dans un délai global maximal de trente jours à compter de la date de réception de la demande de paiement par le pouvoir adjudicateur.</w:t>
      </w:r>
    </w:p>
    <w:p w14:paraId="0EB094CC">
      <w:pPr>
        <w:rPr>
          <w:sz w:val="20"/>
          <w:szCs w:val="20"/>
        </w:rPr>
      </w:pPr>
      <w:r>
        <w:rPr>
          <w:sz w:val="20"/>
          <w:szCs w:val="20"/>
        </w:rPr>
        <w:t xml:space="preserve">Le défaut de paiement dans le délai prévu ci-dessus fait courir de plein droit des intérêts moratoires au bénéfice du titulaire. </w:t>
      </w:r>
    </w:p>
    <w:p w14:paraId="21FA3E70">
      <w:pPr>
        <w:rPr>
          <w:sz w:val="20"/>
          <w:szCs w:val="20"/>
        </w:rPr>
      </w:pPr>
      <w:r>
        <w:rPr>
          <w:sz w:val="20"/>
          <w:szCs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C259E5F">
      <w:pPr>
        <w:rPr>
          <w:sz w:val="20"/>
          <w:szCs w:val="20"/>
        </w:rPr>
      </w:pPr>
      <w:r>
        <w:rPr>
          <w:sz w:val="20"/>
          <w:szCs w:val="20"/>
        </w:rPr>
        <w:t>Le montant de l'indemnité forfaitaire pour frais de recouvrement est fixé à 40</w:t>
      </w:r>
      <w:r>
        <w:rPr>
          <w:rFonts w:ascii="Calibri" w:hAnsi="Calibri" w:cs="Calibri"/>
          <w:sz w:val="20"/>
          <w:szCs w:val="20"/>
        </w:rPr>
        <w:t> </w:t>
      </w:r>
      <w:r>
        <w:rPr>
          <w:sz w:val="20"/>
          <w:szCs w:val="20"/>
        </w:rPr>
        <w:t>euros.</w:t>
      </w:r>
    </w:p>
    <w:p w14:paraId="02BA6FD8">
      <w:pPr>
        <w:pStyle w:val="3"/>
        <w:rPr>
          <w:sz w:val="20"/>
          <w:szCs w:val="20"/>
        </w:rPr>
      </w:pPr>
      <w:bookmarkStart w:id="9" w:name="_Toc180141402"/>
      <w:bookmarkStart w:id="10" w:name="_Toc179907237"/>
      <w:bookmarkStart w:id="11" w:name="_Toc179907283"/>
      <w:bookmarkStart w:id="12" w:name="_Toc179907579"/>
      <w:bookmarkStart w:id="13" w:name="_Hlk180492133"/>
      <w:r>
        <w:rPr>
          <w:sz w:val="20"/>
          <w:szCs w:val="20"/>
        </w:rPr>
        <w:t>Loi applicable – Tribunal compétent</w:t>
      </w:r>
      <w:bookmarkEnd w:id="9"/>
      <w:bookmarkEnd w:id="10"/>
      <w:bookmarkEnd w:id="11"/>
      <w:bookmarkEnd w:id="12"/>
    </w:p>
    <w:p w14:paraId="45616ED6">
      <w:pPr>
        <w:tabs>
          <w:tab w:val="left" w:pos="5706"/>
        </w:tabs>
        <w:rPr>
          <w:sz w:val="20"/>
          <w:szCs w:val="20"/>
        </w:rPr>
      </w:pPr>
      <w:r>
        <w:rPr>
          <w:sz w:val="20"/>
          <w:szCs w:val="20"/>
        </w:rPr>
        <w:t>La loi française est seule applicable au présent marché.</w:t>
      </w:r>
    </w:p>
    <w:p w14:paraId="45E5D884">
      <w:pPr>
        <w:pStyle w:val="67"/>
        <w:rPr>
          <w:sz w:val="20"/>
          <w:szCs w:val="20"/>
        </w:rPr>
      </w:pPr>
      <w:r>
        <w:rPr>
          <w:sz w:val="20"/>
          <w:szCs w:val="20"/>
        </w:rPr>
        <w:t>En cas de litige, le tribunal compétent est le suivant</w:t>
      </w:r>
      <w:r>
        <w:rPr>
          <w:rFonts w:ascii="Calibri" w:hAnsi="Calibri" w:cs="Calibri"/>
          <w:sz w:val="20"/>
          <w:szCs w:val="20"/>
        </w:rPr>
        <w:t> </w:t>
      </w:r>
      <w:r>
        <w:rPr>
          <w:sz w:val="20"/>
          <w:szCs w:val="20"/>
        </w:rPr>
        <w:t>:</w:t>
      </w:r>
    </w:p>
    <w:p w14:paraId="1DB02974">
      <w:pPr>
        <w:pBdr>
          <w:top w:val="single" w:color="auto" w:sz="4" w:space="1"/>
          <w:left w:val="single" w:color="auto" w:sz="4" w:space="4"/>
          <w:bottom w:val="single" w:color="auto" w:sz="4" w:space="1"/>
          <w:right w:val="single" w:color="auto" w:sz="4" w:space="4"/>
        </w:pBdr>
        <w:tabs>
          <w:tab w:val="left" w:pos="5706"/>
        </w:tabs>
        <w:jc w:val="center"/>
        <w:rPr>
          <w:rStyle w:val="15"/>
          <w:sz w:val="20"/>
          <w:szCs w:val="20"/>
        </w:rPr>
      </w:pPr>
      <w:r>
        <w:rPr>
          <w:rStyle w:val="15"/>
          <w:sz w:val="20"/>
          <w:szCs w:val="20"/>
        </w:rPr>
        <w:t>TRIBUNAL ADMINISTRATIF DE PARIS</w:t>
      </w:r>
    </w:p>
    <w:p w14:paraId="0A331764">
      <w:pPr>
        <w:pBdr>
          <w:top w:val="single" w:color="auto" w:sz="4" w:space="1"/>
          <w:left w:val="single" w:color="auto" w:sz="4" w:space="4"/>
          <w:bottom w:val="single" w:color="auto" w:sz="4" w:space="1"/>
          <w:right w:val="single" w:color="auto" w:sz="4" w:space="4"/>
        </w:pBdr>
        <w:tabs>
          <w:tab w:val="left" w:pos="5706"/>
        </w:tabs>
        <w:contextualSpacing/>
        <w:jc w:val="center"/>
        <w:rPr>
          <w:sz w:val="20"/>
          <w:szCs w:val="20"/>
        </w:rPr>
      </w:pPr>
      <w:r>
        <w:rPr>
          <w:sz w:val="20"/>
          <w:szCs w:val="20"/>
        </w:rPr>
        <w:t>7, rue de Jouy</w:t>
      </w:r>
    </w:p>
    <w:p w14:paraId="65151F68">
      <w:pPr>
        <w:pBdr>
          <w:top w:val="single" w:color="auto" w:sz="4" w:space="1"/>
          <w:left w:val="single" w:color="auto" w:sz="4" w:space="4"/>
          <w:bottom w:val="single" w:color="auto" w:sz="4" w:space="1"/>
          <w:right w:val="single" w:color="auto" w:sz="4" w:space="4"/>
        </w:pBdr>
        <w:tabs>
          <w:tab w:val="left" w:pos="5706"/>
        </w:tabs>
        <w:contextualSpacing/>
        <w:jc w:val="center"/>
        <w:rPr>
          <w:sz w:val="20"/>
          <w:szCs w:val="20"/>
        </w:rPr>
      </w:pPr>
      <w:r>
        <w:rPr>
          <w:sz w:val="20"/>
          <w:szCs w:val="20"/>
        </w:rPr>
        <w:t>75181 PARIS CEDEX 04</w:t>
      </w:r>
    </w:p>
    <w:p w14:paraId="7662CEF1">
      <w:pPr>
        <w:pBdr>
          <w:top w:val="single" w:color="auto" w:sz="4" w:space="1"/>
          <w:left w:val="single" w:color="auto" w:sz="4" w:space="4"/>
          <w:bottom w:val="single" w:color="auto" w:sz="4" w:space="1"/>
          <w:right w:val="single" w:color="auto" w:sz="4" w:space="4"/>
        </w:pBdr>
        <w:tabs>
          <w:tab w:val="left" w:pos="5706"/>
        </w:tabs>
        <w:contextualSpacing/>
        <w:jc w:val="center"/>
        <w:rPr>
          <w:sz w:val="20"/>
          <w:szCs w:val="20"/>
        </w:rPr>
      </w:pPr>
      <w:r>
        <w:rPr>
          <w:sz w:val="20"/>
          <w:szCs w:val="20"/>
        </w:rPr>
        <w:t>Téléphone : 01 44 59 44 00</w:t>
      </w:r>
    </w:p>
    <w:p w14:paraId="47A9DE8C">
      <w:pPr>
        <w:pBdr>
          <w:top w:val="single" w:color="auto" w:sz="4" w:space="1"/>
          <w:left w:val="single" w:color="auto" w:sz="4" w:space="4"/>
          <w:bottom w:val="single" w:color="auto" w:sz="4" w:space="1"/>
          <w:right w:val="single" w:color="auto" w:sz="4" w:space="4"/>
        </w:pBdr>
        <w:tabs>
          <w:tab w:val="left" w:pos="5706"/>
        </w:tabs>
        <w:jc w:val="center"/>
        <w:rPr>
          <w:sz w:val="20"/>
          <w:szCs w:val="20"/>
        </w:rPr>
      </w:pPr>
      <w:r>
        <w:rPr>
          <w:sz w:val="20"/>
          <w:szCs w:val="20"/>
        </w:rPr>
        <w:t xml:space="preserve">Courriel : </w:t>
      </w:r>
      <w:r>
        <w:fldChar w:fldCharType="begin"/>
      </w:r>
      <w:r>
        <w:instrText xml:space="preserve"> HYPERLINK "mailto:greffe.ta-paris@juradm.fr" </w:instrText>
      </w:r>
      <w:r>
        <w:fldChar w:fldCharType="separate"/>
      </w:r>
      <w:r>
        <w:rPr>
          <w:rStyle w:val="12"/>
          <w:sz w:val="20"/>
          <w:szCs w:val="20"/>
        </w:rPr>
        <w:t>greffe.ta-paris@juradm.fr</w:t>
      </w:r>
      <w:r>
        <w:rPr>
          <w:rStyle w:val="12"/>
          <w:sz w:val="20"/>
          <w:szCs w:val="20"/>
        </w:rPr>
        <w:fldChar w:fldCharType="end"/>
      </w:r>
    </w:p>
    <w:p w14:paraId="5ACB8962">
      <w:pPr>
        <w:pBdr>
          <w:top w:val="single" w:color="auto" w:sz="4" w:space="1"/>
          <w:left w:val="single" w:color="auto" w:sz="4" w:space="4"/>
          <w:bottom w:val="single" w:color="auto" w:sz="4" w:space="1"/>
          <w:right w:val="single" w:color="auto" w:sz="4" w:space="4"/>
        </w:pBdr>
        <w:tabs>
          <w:tab w:val="left" w:pos="5706"/>
        </w:tabs>
        <w:jc w:val="center"/>
        <w:rPr>
          <w:sz w:val="20"/>
          <w:szCs w:val="20"/>
        </w:rPr>
      </w:pPr>
      <w:r>
        <w:rPr>
          <w:sz w:val="20"/>
          <w:szCs w:val="20"/>
        </w:rPr>
        <w:t xml:space="preserve">Site internet : </w:t>
      </w:r>
      <w:r>
        <w:fldChar w:fldCharType="begin"/>
      </w:r>
      <w:r>
        <w:instrText xml:space="preserve"> HYPERLINK "https://paris.tribunal-administratif.fr/" </w:instrText>
      </w:r>
      <w:r>
        <w:fldChar w:fldCharType="separate"/>
      </w:r>
      <w:r>
        <w:rPr>
          <w:rStyle w:val="12"/>
          <w:sz w:val="20"/>
          <w:szCs w:val="20"/>
        </w:rPr>
        <w:t>https://paris.tribunal-administratif.fr/</w:t>
      </w:r>
      <w:r>
        <w:rPr>
          <w:rStyle w:val="12"/>
          <w:sz w:val="20"/>
          <w:szCs w:val="20"/>
        </w:rPr>
        <w:fldChar w:fldCharType="end"/>
      </w:r>
      <w:bookmarkEnd w:id="13"/>
    </w:p>
    <w:p w14:paraId="0AECA584">
      <w:pPr>
        <w:rPr>
          <w:sz w:val="20"/>
          <w:szCs w:val="20"/>
        </w:rPr>
      </w:pPr>
    </w:p>
    <w:p w14:paraId="685A9A40">
      <w:pPr>
        <w:spacing w:before="0" w:after="200" w:line="276" w:lineRule="auto"/>
        <w:jc w:val="left"/>
        <w:rPr>
          <w:rFonts w:eastAsiaTheme="majorEastAsia" w:cstheme="majorHAnsi"/>
          <w:b/>
          <w:bCs/>
          <w:sz w:val="20"/>
          <w:szCs w:val="20"/>
        </w:rPr>
      </w:pPr>
      <w:r>
        <w:rPr>
          <w:sz w:val="20"/>
          <w:szCs w:val="20"/>
        </w:rPr>
        <w:br w:type="page"/>
      </w:r>
    </w:p>
    <w:p w14:paraId="7DDDA774">
      <w:pPr>
        <w:pStyle w:val="2"/>
        <w:rPr>
          <w:sz w:val="20"/>
          <w:szCs w:val="20"/>
        </w:rPr>
      </w:pPr>
      <w:r>
        <w:rPr>
          <w:sz w:val="20"/>
          <w:szCs w:val="20"/>
        </w:rPr>
        <w:t>SIGNATURES</w:t>
      </w:r>
    </w:p>
    <w:p w14:paraId="7CB161CF">
      <w:pPr>
        <w:pStyle w:val="3"/>
        <w:rPr>
          <w:sz w:val="20"/>
          <w:szCs w:val="20"/>
        </w:rPr>
      </w:pPr>
      <w:r>
        <w:rPr>
          <w:sz w:val="20"/>
          <w:szCs w:val="20"/>
        </w:rPr>
        <w:t>Signature du titulaire</w:t>
      </w:r>
    </w:p>
    <w:tbl>
      <w:tblPr>
        <w:tblStyle w:val="35"/>
        <w:tblW w:w="5000" w:type="pct"/>
        <w:tblInd w:w="0" w:type="dxa"/>
        <w:tblLayout w:type="autofit"/>
        <w:tblCellMar>
          <w:top w:w="0" w:type="dxa"/>
          <w:left w:w="108" w:type="dxa"/>
          <w:bottom w:w="0" w:type="dxa"/>
          <w:right w:w="108" w:type="dxa"/>
        </w:tblCellMar>
      </w:tblPr>
      <w:tblGrid>
        <w:gridCol w:w="3100"/>
        <w:gridCol w:w="3101"/>
        <w:gridCol w:w="3099"/>
      </w:tblGrid>
      <w:tr w14:paraId="326C719D">
        <w:tblPrEx>
          <w:tblCellMar>
            <w:top w:w="0" w:type="dxa"/>
            <w:left w:w="108" w:type="dxa"/>
            <w:bottom w:w="0" w:type="dxa"/>
            <w:right w:w="108" w:type="dxa"/>
          </w:tblCellMar>
        </w:tblPrEx>
        <w:tc>
          <w:tcPr>
            <w:tcW w:w="1667" w:type="pct"/>
            <w:tcBorders>
              <w:top w:val="single" w:color="000000" w:sz="4" w:space="0"/>
              <w:left w:val="single" w:color="000000" w:sz="4" w:space="0"/>
              <w:bottom w:val="single" w:color="auto" w:sz="12" w:space="0"/>
            </w:tcBorders>
            <w:shd w:val="clear" w:color="auto" w:fill="C2E0EB" w:themeFill="accent5" w:themeFillTint="66"/>
            <w:vAlign w:val="center"/>
          </w:tcPr>
          <w:p w14:paraId="541F12D3">
            <w:pPr>
              <w:pStyle w:val="40"/>
            </w:pPr>
            <w:r>
              <w:t>Nom, prénom et qualité du signataire (*)</w:t>
            </w:r>
          </w:p>
        </w:tc>
        <w:tc>
          <w:tcPr>
            <w:tcW w:w="1667" w:type="pct"/>
            <w:tcBorders>
              <w:top w:val="single" w:color="000000" w:sz="4" w:space="0"/>
              <w:left w:val="single" w:color="000000" w:sz="4" w:space="0"/>
              <w:bottom w:val="single" w:color="auto" w:sz="12" w:space="0"/>
            </w:tcBorders>
            <w:shd w:val="clear" w:color="auto" w:fill="C2E0EB" w:themeFill="accent5" w:themeFillTint="66"/>
            <w:vAlign w:val="center"/>
          </w:tcPr>
          <w:p w14:paraId="47221B4B">
            <w:pPr>
              <w:pStyle w:val="40"/>
            </w:pPr>
            <w:r>
              <w:t>Lieu et date de signature</w:t>
            </w:r>
          </w:p>
        </w:tc>
        <w:tc>
          <w:tcPr>
            <w:tcW w:w="1666" w:type="pct"/>
            <w:tcBorders>
              <w:top w:val="single" w:color="000000" w:sz="4" w:space="0"/>
              <w:left w:val="single" w:color="000000" w:sz="4" w:space="0"/>
              <w:bottom w:val="single" w:color="auto" w:sz="12" w:space="0"/>
              <w:right w:val="single" w:color="000000" w:sz="4" w:space="0"/>
            </w:tcBorders>
            <w:shd w:val="clear" w:color="auto" w:fill="C2E0EB" w:themeFill="accent5" w:themeFillTint="66"/>
            <w:vAlign w:val="center"/>
          </w:tcPr>
          <w:p w14:paraId="027DE2A4">
            <w:pPr>
              <w:pStyle w:val="40"/>
            </w:pPr>
            <w:r>
              <w:t>Signature</w:t>
            </w:r>
          </w:p>
        </w:tc>
      </w:tr>
      <w:tr w14:paraId="55E7161C">
        <w:tblPrEx>
          <w:tblCellMar>
            <w:top w:w="0" w:type="dxa"/>
            <w:left w:w="108" w:type="dxa"/>
            <w:bottom w:w="0" w:type="dxa"/>
            <w:right w:w="108" w:type="dxa"/>
          </w:tblCellMar>
        </w:tblPrEx>
        <w:trPr>
          <w:trHeight w:val="1021" w:hRule="atLeast"/>
        </w:trPr>
        <w:tc>
          <w:tcPr>
            <w:tcW w:w="1667" w:type="pct"/>
            <w:tcBorders>
              <w:top w:val="single" w:color="auto" w:sz="12" w:space="0"/>
              <w:left w:val="single" w:color="000000" w:sz="4" w:space="0"/>
              <w:bottom w:val="single" w:color="auto" w:sz="4" w:space="0"/>
            </w:tcBorders>
            <w:shd w:val="clear" w:color="auto" w:fill="auto"/>
          </w:tcPr>
          <w:p w14:paraId="3BF1D480">
            <w:pPr>
              <w:tabs>
                <w:tab w:val="left" w:pos="851"/>
              </w:tabs>
              <w:snapToGrid w:val="0"/>
              <w:rPr>
                <w:rFonts w:cs="Arial"/>
                <w:b/>
                <w:bCs/>
                <w:sz w:val="20"/>
                <w:szCs w:val="20"/>
              </w:rPr>
            </w:pPr>
          </w:p>
          <w:p w14:paraId="7A08DD0A">
            <w:pPr>
              <w:tabs>
                <w:tab w:val="left" w:pos="851"/>
              </w:tabs>
              <w:snapToGrid w:val="0"/>
              <w:rPr>
                <w:rFonts w:cs="Arial"/>
                <w:b/>
                <w:bCs/>
                <w:sz w:val="20"/>
                <w:szCs w:val="20"/>
              </w:rPr>
            </w:pPr>
          </w:p>
          <w:p w14:paraId="51B4F62A">
            <w:pPr>
              <w:tabs>
                <w:tab w:val="left" w:pos="851"/>
              </w:tabs>
              <w:snapToGrid w:val="0"/>
              <w:rPr>
                <w:rFonts w:cs="Arial"/>
                <w:b/>
                <w:bCs/>
                <w:sz w:val="20"/>
                <w:szCs w:val="20"/>
              </w:rPr>
            </w:pPr>
          </w:p>
          <w:p w14:paraId="054F6B2F">
            <w:pPr>
              <w:tabs>
                <w:tab w:val="left" w:pos="851"/>
              </w:tabs>
              <w:snapToGrid w:val="0"/>
              <w:rPr>
                <w:rFonts w:cs="Arial"/>
                <w:b/>
                <w:bCs/>
                <w:sz w:val="20"/>
                <w:szCs w:val="20"/>
              </w:rPr>
            </w:pPr>
          </w:p>
        </w:tc>
        <w:tc>
          <w:tcPr>
            <w:tcW w:w="1667" w:type="pct"/>
            <w:tcBorders>
              <w:top w:val="single" w:color="auto" w:sz="12" w:space="0"/>
              <w:left w:val="single" w:color="000000" w:sz="4" w:space="0"/>
              <w:bottom w:val="single" w:color="auto" w:sz="4" w:space="0"/>
            </w:tcBorders>
            <w:shd w:val="clear" w:color="auto" w:fill="auto"/>
          </w:tcPr>
          <w:p w14:paraId="52CF97B4">
            <w:pPr>
              <w:tabs>
                <w:tab w:val="left" w:pos="851"/>
              </w:tabs>
              <w:snapToGrid w:val="0"/>
              <w:rPr>
                <w:rFonts w:cs="Arial"/>
                <w:b/>
                <w:bCs/>
                <w:sz w:val="20"/>
                <w:szCs w:val="20"/>
              </w:rPr>
            </w:pPr>
          </w:p>
        </w:tc>
        <w:tc>
          <w:tcPr>
            <w:tcW w:w="1666" w:type="pct"/>
            <w:tcBorders>
              <w:top w:val="single" w:color="auto" w:sz="12" w:space="0"/>
              <w:left w:val="single" w:color="000000" w:sz="4" w:space="0"/>
              <w:bottom w:val="single" w:color="auto" w:sz="4" w:space="0"/>
              <w:right w:val="single" w:color="000000" w:sz="4" w:space="0"/>
            </w:tcBorders>
            <w:shd w:val="clear" w:color="auto" w:fill="auto"/>
          </w:tcPr>
          <w:p w14:paraId="1095D837">
            <w:pPr>
              <w:tabs>
                <w:tab w:val="left" w:pos="851"/>
              </w:tabs>
              <w:snapToGrid w:val="0"/>
              <w:rPr>
                <w:rFonts w:cs="Arial"/>
                <w:b/>
                <w:bCs/>
                <w:sz w:val="20"/>
                <w:szCs w:val="20"/>
              </w:rPr>
            </w:pPr>
          </w:p>
          <w:p w14:paraId="5ACF887C">
            <w:pPr>
              <w:tabs>
                <w:tab w:val="left" w:pos="851"/>
              </w:tabs>
              <w:snapToGrid w:val="0"/>
              <w:rPr>
                <w:rFonts w:cs="Arial"/>
                <w:b/>
                <w:bCs/>
                <w:sz w:val="20"/>
                <w:szCs w:val="20"/>
              </w:rPr>
            </w:pPr>
          </w:p>
          <w:p w14:paraId="611F96F4">
            <w:pPr>
              <w:tabs>
                <w:tab w:val="left" w:pos="851"/>
              </w:tabs>
              <w:snapToGrid w:val="0"/>
              <w:rPr>
                <w:rFonts w:cs="Arial"/>
                <w:b/>
                <w:bCs/>
                <w:sz w:val="20"/>
                <w:szCs w:val="20"/>
              </w:rPr>
            </w:pPr>
          </w:p>
          <w:p w14:paraId="53DFF43C">
            <w:pPr>
              <w:tabs>
                <w:tab w:val="left" w:pos="851"/>
              </w:tabs>
              <w:snapToGrid w:val="0"/>
              <w:rPr>
                <w:rFonts w:cs="Arial"/>
                <w:b/>
                <w:bCs/>
                <w:sz w:val="20"/>
                <w:szCs w:val="20"/>
              </w:rPr>
            </w:pPr>
          </w:p>
          <w:p w14:paraId="00FBC5FC">
            <w:pPr>
              <w:tabs>
                <w:tab w:val="left" w:pos="851"/>
              </w:tabs>
              <w:snapToGrid w:val="0"/>
              <w:rPr>
                <w:rFonts w:cs="Arial"/>
                <w:b/>
                <w:bCs/>
                <w:sz w:val="20"/>
                <w:szCs w:val="20"/>
              </w:rPr>
            </w:pPr>
          </w:p>
        </w:tc>
      </w:tr>
    </w:tbl>
    <w:p w14:paraId="1D48078B">
      <w:pPr>
        <w:pStyle w:val="26"/>
        <w:rPr>
          <w:sz w:val="20"/>
          <w:szCs w:val="20"/>
        </w:rPr>
      </w:pPr>
      <w:r>
        <w:rPr>
          <w:sz w:val="20"/>
          <w:szCs w:val="20"/>
        </w:rPr>
        <w:t>(*) Le signataire doit avoir le pouvoir d’engager la personne qu’il représente.</w:t>
      </w:r>
    </w:p>
    <w:p w14:paraId="35B50F5F">
      <w:pPr>
        <w:pStyle w:val="3"/>
        <w:rPr>
          <w:sz w:val="20"/>
          <w:szCs w:val="20"/>
        </w:rPr>
      </w:pPr>
      <w:r>
        <w:rPr>
          <w:sz w:val="20"/>
          <w:szCs w:val="20"/>
        </w:rPr>
        <w:t>Signature de l’acheteur</w:t>
      </w:r>
    </w:p>
    <w:p w14:paraId="6EA0E463">
      <w:pPr>
        <w:rPr>
          <w:sz w:val="20"/>
          <w:szCs w:val="20"/>
        </w:rPr>
      </w:pPr>
      <w:r>
        <w:rPr>
          <w:sz w:val="20"/>
          <w:szCs w:val="20"/>
        </w:rPr>
        <w:t>La présente offre est acceptée</w:t>
      </w:r>
      <w:r>
        <w:rPr>
          <w:rFonts w:hint="default"/>
          <w:sz w:val="20"/>
          <w:szCs w:val="20"/>
          <w:lang w:val="fr-FR"/>
        </w:rPr>
        <w:t>.</w:t>
      </w:r>
    </w:p>
    <w:p w14:paraId="305BA004">
      <w:pPr>
        <w:rPr>
          <w:sz w:val="20"/>
          <w:szCs w:val="20"/>
        </w:rPr>
      </w:pPr>
    </w:p>
    <w:p w14:paraId="6D3DC5BF">
      <w:pPr>
        <w:rPr>
          <w:sz w:val="20"/>
          <w:szCs w:val="20"/>
        </w:rPr>
      </w:pPr>
      <w:r>
        <w:rPr>
          <w:sz w:val="20"/>
          <w:szCs w:val="20"/>
        </w:rPr>
        <w:t>Fait à Saint-Mandé,</w:t>
      </w:r>
    </w:p>
    <w:p w14:paraId="015707FC">
      <w:pPr>
        <w:rPr>
          <w:sz w:val="20"/>
          <w:szCs w:val="20"/>
        </w:rPr>
      </w:pPr>
    </w:p>
    <w:p w14:paraId="02D9F8BC">
      <w:pPr>
        <w:pBdr>
          <w:top w:val="single" w:color="auto" w:sz="4" w:space="1"/>
          <w:left w:val="single" w:color="auto" w:sz="4" w:space="4"/>
          <w:bottom w:val="single" w:color="auto" w:sz="4" w:space="1"/>
          <w:right w:val="single" w:color="auto" w:sz="4" w:space="4"/>
        </w:pBdr>
        <w:jc w:val="center"/>
        <w:rPr>
          <w:sz w:val="20"/>
          <w:szCs w:val="20"/>
        </w:rPr>
      </w:pPr>
      <w:r>
        <w:rPr>
          <w:sz w:val="20"/>
          <w:szCs w:val="20"/>
        </w:rPr>
        <w:t>Signature</w:t>
      </w:r>
    </w:p>
    <w:p w14:paraId="0EC6F936">
      <w:pPr>
        <w:pBdr>
          <w:top w:val="single" w:color="auto" w:sz="4" w:space="1"/>
          <w:left w:val="single" w:color="auto" w:sz="4" w:space="4"/>
          <w:bottom w:val="single" w:color="auto" w:sz="4" w:space="1"/>
          <w:right w:val="single" w:color="auto" w:sz="4" w:space="4"/>
        </w:pBdr>
        <w:jc w:val="center"/>
        <w:rPr>
          <w:sz w:val="20"/>
          <w:szCs w:val="20"/>
        </w:rPr>
      </w:pPr>
      <w:r>
        <w:rPr>
          <w:sz w:val="20"/>
          <w:szCs w:val="20"/>
        </w:rPr>
        <w:t>Pour le Directeur général de l’IGN, et par délégation,</w:t>
      </w:r>
    </w:p>
    <w:p w14:paraId="0E12ABA1">
      <w:pPr>
        <w:pBdr>
          <w:top w:val="single" w:color="auto" w:sz="4" w:space="1"/>
          <w:left w:val="single" w:color="auto" w:sz="4" w:space="4"/>
          <w:bottom w:val="single" w:color="auto" w:sz="4" w:space="1"/>
          <w:right w:val="single" w:color="auto" w:sz="4" w:space="4"/>
        </w:pBdr>
        <w:jc w:val="center"/>
        <w:rPr>
          <w:sz w:val="20"/>
          <w:szCs w:val="20"/>
        </w:rPr>
      </w:pPr>
    </w:p>
    <w:p w14:paraId="71FB1FB7">
      <w:pPr>
        <w:pBdr>
          <w:top w:val="single" w:color="auto" w:sz="4" w:space="1"/>
          <w:left w:val="single" w:color="auto" w:sz="4" w:space="4"/>
          <w:bottom w:val="single" w:color="auto" w:sz="4" w:space="1"/>
          <w:right w:val="single" w:color="auto" w:sz="4" w:space="4"/>
        </w:pBdr>
        <w:jc w:val="center"/>
        <w:rPr>
          <w:sz w:val="20"/>
          <w:szCs w:val="20"/>
        </w:rPr>
      </w:pPr>
    </w:p>
    <w:p w14:paraId="59195BE9">
      <w:pPr>
        <w:pBdr>
          <w:top w:val="single" w:color="auto" w:sz="4" w:space="1"/>
          <w:left w:val="single" w:color="auto" w:sz="4" w:space="4"/>
          <w:bottom w:val="single" w:color="auto" w:sz="4" w:space="1"/>
          <w:right w:val="single" w:color="auto" w:sz="4" w:space="4"/>
        </w:pBdr>
        <w:jc w:val="center"/>
        <w:rPr>
          <w:sz w:val="20"/>
          <w:szCs w:val="20"/>
        </w:rPr>
      </w:pPr>
    </w:p>
    <w:p w14:paraId="3EC88B2C">
      <w:pPr>
        <w:pBdr>
          <w:top w:val="single" w:color="auto" w:sz="4" w:space="1"/>
          <w:left w:val="single" w:color="auto" w:sz="4" w:space="4"/>
          <w:bottom w:val="single" w:color="auto" w:sz="4" w:space="1"/>
          <w:right w:val="single" w:color="auto" w:sz="4" w:space="4"/>
        </w:pBdr>
        <w:jc w:val="center"/>
        <w:rPr>
          <w:sz w:val="20"/>
          <w:szCs w:val="20"/>
        </w:rPr>
      </w:pPr>
    </w:p>
    <w:p w14:paraId="252D47C6">
      <w:pPr>
        <w:pBdr>
          <w:top w:val="single" w:color="auto" w:sz="4" w:space="1"/>
          <w:left w:val="single" w:color="auto" w:sz="4" w:space="4"/>
          <w:bottom w:val="single" w:color="auto" w:sz="4" w:space="1"/>
          <w:right w:val="single" w:color="auto" w:sz="4" w:space="4"/>
        </w:pBdr>
        <w:jc w:val="center"/>
        <w:rPr>
          <w:sz w:val="20"/>
          <w:szCs w:val="20"/>
        </w:rPr>
      </w:pPr>
    </w:p>
    <w:p w14:paraId="2B2B0F8A">
      <w:pPr>
        <w:spacing w:before="0" w:after="200" w:line="276" w:lineRule="auto"/>
        <w:jc w:val="left"/>
        <w:rPr>
          <w:sz w:val="20"/>
          <w:szCs w:val="20"/>
        </w:rPr>
        <w:sectPr>
          <w:headerReference r:id="rId9" w:type="default"/>
          <w:type w:val="continuous"/>
          <w:pgSz w:w="11906" w:h="16838"/>
          <w:pgMar w:top="1138" w:right="1411" w:bottom="1701" w:left="1411" w:header="1126" w:footer="851" w:gutter="0"/>
          <w:cols w:space="708" w:num="1"/>
          <w:docGrid w:linePitch="360" w:charSpace="0"/>
        </w:sectPr>
      </w:pPr>
      <w:r>
        <w:rPr>
          <w:sz w:val="20"/>
          <w:szCs w:val="20"/>
        </w:rPr>
        <w:br w:type="page"/>
      </w:r>
    </w:p>
    <w:p w14:paraId="06B07497">
      <w:pPr>
        <w:pStyle w:val="2"/>
        <w:rPr>
          <w:sz w:val="20"/>
          <w:szCs w:val="20"/>
        </w:rPr>
      </w:pPr>
      <w:bookmarkStart w:id="14" w:name="_Hlk189143686"/>
      <w:r>
        <w:rPr>
          <w:sz w:val="20"/>
          <w:szCs w:val="20"/>
        </w:rPr>
        <w:t>ANNEXE FINANCIÈRE</w:t>
      </w:r>
    </w:p>
    <w:bookmarkEnd w:id="14"/>
    <w:tbl>
      <w:tblPr>
        <w:tblStyle w:val="3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7"/>
        <w:gridCol w:w="7447"/>
      </w:tblGrid>
      <w:tr w14:paraId="5ABE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bottom w:val="single" w:color="auto" w:sz="12" w:space="0"/>
            </w:tcBorders>
            <w:shd w:val="clear" w:color="auto" w:fill="C2E0EB" w:themeFill="accent5" w:themeFillTint="66"/>
            <w:vAlign w:val="center"/>
          </w:tcPr>
          <w:p w14:paraId="1398C927">
            <w:pPr>
              <w:widowControl w:val="0"/>
              <w:suppressAutoHyphens/>
              <w:autoSpaceDN w:val="0"/>
              <w:spacing w:before="0" w:after="0"/>
              <w:jc w:val="center"/>
              <w:textAlignment w:val="baseline"/>
              <w:rPr>
                <w:rFonts w:eastAsia="Times New Roman" w:cs="Arial"/>
                <w:b/>
                <w:color w:val="auto"/>
                <w:kern w:val="3"/>
                <w:sz w:val="20"/>
                <w:szCs w:val="20"/>
                <w:lang w:eastAsia="fr-FR" w:bidi="hi-IN"/>
              </w:rPr>
            </w:pPr>
            <w:bookmarkStart w:id="15" w:name="_Hlk189127004"/>
            <w:r>
              <w:rPr>
                <w:rFonts w:eastAsia="Times New Roman" w:cs="Arial"/>
                <w:b/>
                <w:color w:val="auto"/>
                <w:kern w:val="3"/>
                <w:sz w:val="20"/>
                <w:szCs w:val="20"/>
                <w:lang w:eastAsia="fr-FR" w:bidi="hi-IN"/>
              </w:rPr>
              <w:t>Montant minimum d</w:t>
            </w:r>
            <w:r>
              <w:rPr>
                <w:rFonts w:hint="default" w:eastAsia="Times New Roman" w:cs="Arial"/>
                <w:b/>
                <w:color w:val="auto"/>
                <w:kern w:val="3"/>
                <w:sz w:val="20"/>
                <w:szCs w:val="20"/>
                <w:lang w:val="en-US" w:eastAsia="fr-FR" w:bidi="hi-IN"/>
              </w:rPr>
              <w:t>e la formation</w:t>
            </w:r>
          </w:p>
        </w:tc>
        <w:tc>
          <w:tcPr>
            <w:tcW w:w="2500" w:type="pct"/>
            <w:tcBorders>
              <w:bottom w:val="single" w:color="auto" w:sz="12" w:space="0"/>
            </w:tcBorders>
            <w:shd w:val="clear" w:color="auto" w:fill="C2E0EB" w:themeFill="accent5" w:themeFillTint="66"/>
            <w:vAlign w:val="center"/>
          </w:tcPr>
          <w:p w14:paraId="0223B887">
            <w:pPr>
              <w:widowControl w:val="0"/>
              <w:suppressAutoHyphens/>
              <w:autoSpaceDN w:val="0"/>
              <w:spacing w:before="0" w:after="0"/>
              <w:jc w:val="center"/>
              <w:textAlignment w:val="baseline"/>
              <w:rPr>
                <w:rFonts w:eastAsia="Times New Roman" w:cs="Arial"/>
                <w:b/>
                <w:color w:val="auto"/>
                <w:kern w:val="3"/>
                <w:sz w:val="20"/>
                <w:szCs w:val="20"/>
                <w:lang w:eastAsia="fr-FR" w:bidi="hi-IN"/>
              </w:rPr>
            </w:pPr>
            <w:r>
              <w:rPr>
                <w:rFonts w:eastAsia="Times New Roman" w:cs="Arial"/>
                <w:b/>
                <w:color w:val="auto"/>
                <w:kern w:val="3"/>
                <w:sz w:val="20"/>
                <w:szCs w:val="20"/>
                <w:lang w:eastAsia="fr-FR" w:bidi="hi-IN"/>
              </w:rPr>
              <w:t>Montant maximum de</w:t>
            </w:r>
            <w:r>
              <w:rPr>
                <w:rFonts w:hint="default" w:eastAsia="Times New Roman" w:cs="Arial"/>
                <w:b/>
                <w:color w:val="auto"/>
                <w:kern w:val="3"/>
                <w:sz w:val="20"/>
                <w:szCs w:val="20"/>
                <w:lang w:val="en-US" w:eastAsia="fr-FR" w:bidi="hi-IN"/>
              </w:rPr>
              <w:t xml:space="preserve"> la formation</w:t>
            </w:r>
          </w:p>
          <w:p w14:paraId="6769A3D3">
            <w:pPr>
              <w:widowControl w:val="0"/>
              <w:suppressAutoHyphens/>
              <w:autoSpaceDN w:val="0"/>
              <w:spacing w:before="0" w:after="0"/>
              <w:jc w:val="center"/>
              <w:textAlignment w:val="baseline"/>
              <w:rPr>
                <w:rFonts w:hint="default" w:eastAsia="Times New Roman" w:cs="Arial"/>
                <w:b/>
                <w:color w:val="auto"/>
                <w:kern w:val="3"/>
                <w:sz w:val="20"/>
                <w:szCs w:val="20"/>
                <w:highlight w:val="yellow"/>
                <w:lang w:val="en-US" w:eastAsia="fr-FR" w:bidi="hi-IN"/>
              </w:rPr>
            </w:pPr>
          </w:p>
        </w:tc>
      </w:tr>
      <w:tr w14:paraId="06AD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top w:val="single" w:color="auto" w:sz="12" w:space="0"/>
            </w:tcBorders>
            <w:shd w:val="clear" w:color="auto" w:fill="auto"/>
            <w:vAlign w:val="center"/>
          </w:tcPr>
          <w:p w14:paraId="6205D36F">
            <w:pPr>
              <w:tabs>
                <w:tab w:val="left" w:pos="851"/>
              </w:tabs>
              <w:suppressAutoHyphens/>
              <w:spacing w:before="0" w:after="0"/>
              <w:jc w:val="center"/>
              <w:rPr>
                <w:rFonts w:eastAsia="Times New Roman" w:cs="Arial"/>
                <w:color w:val="auto"/>
                <w:sz w:val="20"/>
                <w:szCs w:val="20"/>
                <w:lang w:eastAsia="zh-CN"/>
              </w:rPr>
            </w:pPr>
            <w:r>
              <w:rPr>
                <w:rFonts w:eastAsia="Times New Roman" w:cs="Arial"/>
                <w:color w:val="auto"/>
                <w:sz w:val="20"/>
                <w:szCs w:val="20"/>
                <w:lang w:eastAsia="zh-CN"/>
              </w:rPr>
              <w:t>Sans minimum</w:t>
            </w:r>
          </w:p>
        </w:tc>
        <w:tc>
          <w:tcPr>
            <w:tcW w:w="2500" w:type="pct"/>
            <w:tcBorders>
              <w:top w:val="single" w:color="auto" w:sz="12" w:space="0"/>
            </w:tcBorders>
            <w:shd w:val="clear" w:color="auto" w:fill="auto"/>
            <w:vAlign w:val="center"/>
          </w:tcPr>
          <w:p w14:paraId="148D2ABC">
            <w:pPr>
              <w:tabs>
                <w:tab w:val="left" w:pos="851"/>
              </w:tabs>
              <w:suppressAutoHyphens/>
              <w:spacing w:before="0" w:after="0"/>
              <w:jc w:val="center"/>
              <w:rPr>
                <w:rFonts w:eastAsia="Times New Roman" w:cs="Arial"/>
                <w:color w:val="auto"/>
                <w:sz w:val="20"/>
                <w:szCs w:val="20"/>
                <w:highlight w:val="yellow"/>
                <w:lang w:eastAsia="zh-CN"/>
              </w:rPr>
            </w:pPr>
            <w:r>
              <w:rPr>
                <w:rFonts w:hint="default" w:eastAsia="Times New Roman" w:cs="Arial"/>
                <w:b w:val="0"/>
                <w:bCs/>
                <w:color w:val="auto"/>
                <w:kern w:val="3"/>
                <w:sz w:val="20"/>
                <w:szCs w:val="20"/>
                <w:lang w:val="en-US" w:eastAsia="fr-FR" w:bidi="hi-IN"/>
              </w:rPr>
              <w:t>2500 € HT par stagiaire</w:t>
            </w:r>
          </w:p>
        </w:tc>
      </w:tr>
      <w:bookmarkEnd w:id="15"/>
    </w:tbl>
    <w:p w14:paraId="3B079C0F">
      <w:pPr>
        <w:pStyle w:val="18"/>
        <w:numPr>
          <w:ilvl w:val="0"/>
          <w:numId w:val="0"/>
        </w:numPr>
        <w:spacing w:before="0"/>
        <w:ind w:left="720"/>
        <w:contextualSpacing/>
        <w:rPr>
          <w:sz w:val="20"/>
          <w:szCs w:val="20"/>
        </w:rPr>
      </w:pPr>
    </w:p>
    <w:tbl>
      <w:tblPr>
        <w:tblStyle w:val="85"/>
        <w:tblpPr w:leftFromText="180" w:rightFromText="180" w:vertAnchor="text" w:horzAnchor="page" w:tblpX="1040" w:tblpY="64"/>
        <w:tblOverlap w:val="never"/>
        <w:tblW w:w="501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28"/>
        <w:gridCol w:w="2881"/>
        <w:gridCol w:w="2023"/>
        <w:gridCol w:w="2504"/>
      </w:tblGrid>
      <w:tr w14:paraId="3177F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2519" w:type="pct"/>
            <w:tcBorders>
              <w:bottom w:val="single" w:color="auto" w:sz="12" w:space="0"/>
            </w:tcBorders>
            <w:shd w:val="clear" w:color="auto" w:fill="C2E0EB" w:themeFill="accent5" w:themeFillTint="66"/>
            <w:vAlign w:val="center"/>
          </w:tcPr>
          <w:p w14:paraId="3EF8519E">
            <w:pPr>
              <w:spacing w:before="200" w:after="200" w:line="276" w:lineRule="auto"/>
              <w:jc w:val="center"/>
              <w:rPr>
                <w:rFonts w:eastAsia="MS Mincho" w:cs="Times New Roman"/>
                <w:b/>
                <w:bCs/>
                <w:color w:val="auto"/>
                <w:sz w:val="20"/>
                <w:szCs w:val="20"/>
                <w:lang w:eastAsia="fr-FR"/>
              </w:rPr>
            </w:pPr>
            <w:bookmarkStart w:id="16" w:name="_Hlk178948292"/>
            <w:bookmarkStart w:id="17" w:name="_Hlk189130041"/>
            <w:r>
              <w:rPr>
                <w:rFonts w:eastAsia="MS Mincho" w:cs="Times New Roman"/>
                <w:b/>
                <w:bCs/>
                <w:color w:val="auto"/>
                <w:sz w:val="20"/>
                <w:szCs w:val="20"/>
                <w:lang w:eastAsia="fr-FR"/>
              </w:rPr>
              <w:t xml:space="preserve">Formation </w:t>
            </w:r>
            <w:r>
              <w:rPr>
                <w:rFonts w:eastAsia="MS Mincho" w:cs="Times New Roman"/>
                <w:b/>
                <w:bCs/>
                <w:color w:val="auto"/>
                <w:sz w:val="20"/>
                <w:szCs w:val="20"/>
                <w:shd w:val="clear" w:fill="FFFF00"/>
                <w:lang w:eastAsia="fr-FR"/>
              </w:rPr>
              <w:t>en présentiel</w:t>
            </w:r>
          </w:p>
        </w:tc>
        <w:tc>
          <w:tcPr>
            <w:tcW w:w="964" w:type="pct"/>
            <w:tcBorders>
              <w:bottom w:val="single" w:color="auto" w:sz="12" w:space="0"/>
            </w:tcBorders>
            <w:shd w:val="clear" w:color="auto" w:fill="C2E0EB" w:themeFill="accent5" w:themeFillTint="66"/>
            <w:vAlign w:val="center"/>
          </w:tcPr>
          <w:p w14:paraId="2F80EB58">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Nombre de jours de formation</w:t>
            </w:r>
          </w:p>
        </w:tc>
        <w:tc>
          <w:tcPr>
            <w:tcW w:w="677" w:type="pct"/>
            <w:tcBorders>
              <w:bottom w:val="single" w:color="auto" w:sz="12" w:space="0"/>
            </w:tcBorders>
            <w:shd w:val="clear" w:color="auto" w:fill="C2E0EB" w:themeFill="accent5" w:themeFillTint="66"/>
            <w:vAlign w:val="center"/>
          </w:tcPr>
          <w:p w14:paraId="3E785259">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HT</w:t>
            </w:r>
          </w:p>
        </w:tc>
        <w:tc>
          <w:tcPr>
            <w:tcW w:w="838" w:type="pct"/>
            <w:tcBorders>
              <w:bottom w:val="single" w:color="auto" w:sz="12" w:space="0"/>
            </w:tcBorders>
            <w:shd w:val="clear" w:color="auto" w:fill="C2E0EB" w:themeFill="accent5" w:themeFillTint="66"/>
            <w:vAlign w:val="center"/>
          </w:tcPr>
          <w:p w14:paraId="11FA3526">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remisé</w:t>
            </w:r>
          </w:p>
        </w:tc>
      </w:tr>
      <w:tr w14:paraId="4834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2519" w:type="pct"/>
            <w:tcBorders>
              <w:top w:val="single" w:color="auto" w:sz="12" w:space="0"/>
              <w:bottom w:val="single" w:color="auto" w:sz="12" w:space="0"/>
            </w:tcBorders>
            <w:shd w:val="clear" w:color="auto" w:fill="C2E0EB" w:themeFill="accent5" w:themeFillTint="66"/>
            <w:vAlign w:val="center"/>
          </w:tcPr>
          <w:p w14:paraId="10C05D29">
            <w:pPr>
              <w:spacing w:before="200" w:after="200" w:line="480" w:lineRule="auto"/>
              <w:jc w:val="center"/>
              <w:rPr>
                <w:rFonts w:hint="default" w:eastAsia="MS Mincho" w:cs="Times New Roman"/>
                <w:b/>
                <w:bCs/>
                <w:color w:val="auto"/>
                <w:sz w:val="20"/>
                <w:szCs w:val="20"/>
                <w:lang w:val="en-US" w:eastAsia="fr-FR"/>
              </w:rPr>
            </w:pPr>
            <w:r>
              <w:rPr>
                <w:rFonts w:eastAsia="MS Mincho" w:cs="Times New Roman"/>
                <w:b/>
                <w:bCs/>
                <w:color w:val="auto"/>
                <w:sz w:val="20"/>
                <w:szCs w:val="20"/>
                <w:lang w:eastAsia="fr-FR"/>
              </w:rPr>
              <w:t>Prix d</w:t>
            </w:r>
            <w:r>
              <w:rPr>
                <w:rFonts w:hint="default" w:eastAsia="MS Mincho" w:cs="Times New Roman"/>
                <w:b/>
                <w:bCs/>
                <w:color w:val="auto"/>
                <w:sz w:val="20"/>
                <w:szCs w:val="20"/>
                <w:lang w:val="en-US" w:eastAsia="fr-FR"/>
              </w:rPr>
              <w:t xml:space="preserve">e la 1ère </w:t>
            </w:r>
            <w:r>
              <w:rPr>
                <w:rFonts w:eastAsia="MS Mincho" w:cs="Times New Roman"/>
                <w:b/>
                <w:bCs/>
                <w:color w:val="auto"/>
                <w:sz w:val="20"/>
                <w:szCs w:val="20"/>
                <w:lang w:eastAsia="fr-FR"/>
              </w:rPr>
              <w:t xml:space="preserve">session </w:t>
            </w:r>
            <w:r>
              <w:rPr>
                <w:rFonts w:hint="default" w:eastAsia="MS Mincho" w:cs="Times New Roman"/>
                <w:b/>
                <w:bCs/>
                <w:color w:val="auto"/>
                <w:sz w:val="20"/>
                <w:szCs w:val="20"/>
                <w:lang w:val="en-US" w:eastAsia="fr-FR"/>
              </w:rPr>
              <w:t>pour 1 stagiaire</w:t>
            </w:r>
          </w:p>
        </w:tc>
        <w:tc>
          <w:tcPr>
            <w:tcW w:w="964" w:type="pct"/>
            <w:tcBorders>
              <w:top w:val="single" w:color="auto" w:sz="12" w:space="0"/>
              <w:bottom w:val="single" w:color="auto" w:sz="12" w:space="0"/>
            </w:tcBorders>
            <w:vAlign w:val="center"/>
          </w:tcPr>
          <w:p w14:paraId="3BC309CC">
            <w:pPr>
              <w:spacing w:before="200" w:after="200" w:line="276" w:lineRule="auto"/>
              <w:jc w:val="center"/>
              <w:rPr>
                <w:rFonts w:eastAsia="MS Mincho" w:cs="Times New Roman"/>
                <w:color w:val="auto"/>
                <w:sz w:val="20"/>
                <w:szCs w:val="20"/>
                <w:lang w:eastAsia="fr-FR"/>
              </w:rPr>
            </w:pPr>
          </w:p>
        </w:tc>
        <w:tc>
          <w:tcPr>
            <w:tcW w:w="677" w:type="pct"/>
            <w:tcBorders>
              <w:top w:val="single" w:color="auto" w:sz="12" w:space="0"/>
              <w:bottom w:val="single" w:color="auto" w:sz="12" w:space="0"/>
            </w:tcBorders>
            <w:vAlign w:val="center"/>
          </w:tcPr>
          <w:p w14:paraId="7988AAAE">
            <w:pPr>
              <w:spacing w:before="200" w:after="200" w:line="276" w:lineRule="auto"/>
              <w:jc w:val="center"/>
              <w:rPr>
                <w:rFonts w:eastAsia="MS Mincho" w:cs="Times New Roman"/>
                <w:color w:val="auto"/>
                <w:sz w:val="20"/>
                <w:szCs w:val="20"/>
                <w:lang w:eastAsia="fr-FR"/>
              </w:rPr>
            </w:pPr>
          </w:p>
        </w:tc>
        <w:tc>
          <w:tcPr>
            <w:tcW w:w="838" w:type="pct"/>
            <w:tcBorders>
              <w:top w:val="single" w:color="auto" w:sz="12" w:space="0"/>
              <w:bottom w:val="single" w:color="auto" w:sz="12" w:space="0"/>
            </w:tcBorders>
            <w:vAlign w:val="center"/>
          </w:tcPr>
          <w:p w14:paraId="4E57F038">
            <w:pPr>
              <w:spacing w:before="200" w:after="200" w:line="276" w:lineRule="auto"/>
              <w:jc w:val="center"/>
              <w:rPr>
                <w:rFonts w:eastAsia="MS Mincho" w:cs="Times New Roman"/>
                <w:color w:val="auto"/>
                <w:sz w:val="20"/>
                <w:szCs w:val="20"/>
                <w:lang w:eastAsia="fr-FR"/>
              </w:rPr>
            </w:pPr>
          </w:p>
        </w:tc>
      </w:tr>
      <w:tr w14:paraId="1FA0D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519" w:type="pct"/>
            <w:tcBorders>
              <w:top w:val="single" w:color="auto" w:sz="12" w:space="0"/>
              <w:bottom w:val="single" w:color="auto" w:sz="4" w:space="0"/>
            </w:tcBorders>
            <w:shd w:val="clear" w:color="auto" w:fill="C2E0EB" w:themeFill="accent5" w:themeFillTint="66"/>
            <w:vAlign w:val="center"/>
          </w:tcPr>
          <w:p w14:paraId="374C1623">
            <w:pPr>
              <w:keepNext w:val="0"/>
              <w:keepLines w:val="0"/>
              <w:pageBreakBefore w:val="0"/>
              <w:widowControl/>
              <w:kinsoku/>
              <w:wordWrap/>
              <w:overflowPunct/>
              <w:topLinePunct w:val="0"/>
              <w:autoSpaceDE/>
              <w:autoSpaceDN/>
              <w:bidi w:val="0"/>
              <w:adjustRightInd/>
              <w:snapToGrid/>
              <w:spacing w:before="80" w:after="80" w:line="276" w:lineRule="auto"/>
              <w:jc w:val="center"/>
              <w:textAlignment w:val="auto"/>
              <w:rPr>
                <w:rFonts w:eastAsia="MS Mincho" w:cs="Times New Roman"/>
                <w:b/>
                <w:bCs/>
                <w:color w:val="auto"/>
                <w:sz w:val="20"/>
                <w:szCs w:val="20"/>
                <w:lang w:eastAsia="fr-FR"/>
              </w:rPr>
            </w:pPr>
          </w:p>
          <w:p w14:paraId="5484E52B">
            <w:pPr>
              <w:keepNext w:val="0"/>
              <w:keepLines w:val="0"/>
              <w:pageBreakBefore w:val="0"/>
              <w:widowControl/>
              <w:kinsoku/>
              <w:wordWrap/>
              <w:overflowPunct/>
              <w:topLinePunct w:val="0"/>
              <w:autoSpaceDE/>
              <w:autoSpaceDN/>
              <w:bidi w:val="0"/>
              <w:adjustRightInd/>
              <w:snapToGrid/>
              <w:spacing w:before="80" w:after="80" w:line="276" w:lineRule="auto"/>
              <w:jc w:val="center"/>
              <w:textAlignment w:val="auto"/>
              <w:rPr>
                <w:rFonts w:hint="default" w:eastAsia="MS Mincho" w:cs="Times New Roman"/>
                <w:b/>
                <w:bCs/>
                <w:color w:val="auto"/>
                <w:sz w:val="20"/>
                <w:szCs w:val="20"/>
                <w:lang w:val="en-US" w:eastAsia="fr-FR"/>
              </w:rPr>
            </w:pPr>
            <w:r>
              <w:rPr>
                <w:rFonts w:eastAsia="MS Mincho" w:cs="Times New Roman"/>
                <w:b/>
                <w:bCs/>
                <w:color w:val="auto"/>
                <w:sz w:val="20"/>
                <w:szCs w:val="20"/>
                <w:lang w:eastAsia="fr-FR"/>
              </w:rPr>
              <w:t>Prix</w:t>
            </w:r>
            <w:r>
              <w:rPr>
                <w:rFonts w:hint="default" w:eastAsia="MS Mincho" w:cs="Times New Roman"/>
                <w:b/>
                <w:bCs/>
                <w:color w:val="auto"/>
                <w:sz w:val="20"/>
                <w:szCs w:val="20"/>
                <w:lang w:val="en-US" w:eastAsia="fr-FR"/>
              </w:rPr>
              <w:t>*</w:t>
            </w:r>
            <w:r>
              <w:rPr>
                <w:rFonts w:eastAsia="MS Mincho" w:cs="Times New Roman"/>
                <w:b/>
                <w:bCs/>
                <w:color w:val="auto"/>
                <w:sz w:val="20"/>
                <w:szCs w:val="20"/>
                <w:lang w:eastAsia="fr-FR"/>
              </w:rPr>
              <w:t xml:space="preserve"> d</w:t>
            </w:r>
            <w:r>
              <w:rPr>
                <w:rFonts w:hint="default" w:eastAsia="MS Mincho" w:cs="Times New Roman"/>
                <w:b/>
                <w:bCs/>
                <w:color w:val="auto"/>
                <w:sz w:val="20"/>
                <w:szCs w:val="20"/>
                <w:lang w:val="en-US" w:eastAsia="fr-FR"/>
              </w:rPr>
              <w:t xml:space="preserve">e la </w:t>
            </w:r>
            <w:r>
              <w:rPr>
                <w:rFonts w:eastAsia="MS Mincho" w:cs="Times New Roman"/>
                <w:b/>
                <w:bCs/>
                <w:color w:val="auto"/>
                <w:sz w:val="20"/>
                <w:szCs w:val="20"/>
                <w:lang w:eastAsia="fr-FR"/>
              </w:rPr>
              <w:t xml:space="preserve">session </w:t>
            </w:r>
            <w:r>
              <w:rPr>
                <w:rFonts w:hint="default" w:eastAsia="MS Mincho" w:cs="Times New Roman"/>
                <w:b/>
                <w:bCs/>
                <w:color w:val="auto"/>
                <w:sz w:val="20"/>
                <w:szCs w:val="20"/>
                <w:lang w:val="en-US" w:eastAsia="fr-FR"/>
              </w:rPr>
              <w:t>supplémentaire pour 1 stagiaire</w:t>
            </w:r>
          </w:p>
        </w:tc>
        <w:tc>
          <w:tcPr>
            <w:tcW w:w="964" w:type="pct"/>
            <w:tcBorders>
              <w:top w:val="single" w:color="auto" w:sz="12" w:space="0"/>
              <w:bottom w:val="single" w:color="auto" w:sz="4" w:space="0"/>
            </w:tcBorders>
            <w:vAlign w:val="center"/>
          </w:tcPr>
          <w:p w14:paraId="6F9DC63E">
            <w:pPr>
              <w:spacing w:before="200" w:after="200" w:line="276" w:lineRule="auto"/>
              <w:jc w:val="center"/>
              <w:rPr>
                <w:rFonts w:hint="default" w:eastAsia="MS Mincho" w:cs="Times New Roman"/>
                <w:color w:val="auto"/>
                <w:sz w:val="20"/>
                <w:szCs w:val="20"/>
                <w:lang w:val="en-US" w:eastAsia="fr-FR"/>
              </w:rPr>
            </w:pPr>
          </w:p>
        </w:tc>
        <w:tc>
          <w:tcPr>
            <w:tcW w:w="677" w:type="pct"/>
            <w:tcBorders>
              <w:top w:val="single" w:color="auto" w:sz="12" w:space="0"/>
              <w:bottom w:val="single" w:color="auto" w:sz="4" w:space="0"/>
            </w:tcBorders>
            <w:vAlign w:val="center"/>
          </w:tcPr>
          <w:p w14:paraId="060A51A9">
            <w:pPr>
              <w:spacing w:before="200" w:after="200" w:line="276" w:lineRule="auto"/>
              <w:jc w:val="center"/>
              <w:rPr>
                <w:rFonts w:eastAsia="MS Mincho" w:cs="Times New Roman"/>
                <w:color w:val="auto"/>
                <w:sz w:val="20"/>
                <w:szCs w:val="20"/>
                <w:lang w:eastAsia="fr-FR"/>
              </w:rPr>
            </w:pPr>
          </w:p>
        </w:tc>
        <w:tc>
          <w:tcPr>
            <w:tcW w:w="838" w:type="pct"/>
            <w:tcBorders>
              <w:top w:val="single" w:color="auto" w:sz="12" w:space="0"/>
              <w:bottom w:val="single" w:color="auto" w:sz="4" w:space="0"/>
            </w:tcBorders>
            <w:vAlign w:val="center"/>
          </w:tcPr>
          <w:p w14:paraId="1062FC64">
            <w:pPr>
              <w:spacing w:before="200" w:after="200" w:line="276" w:lineRule="auto"/>
              <w:jc w:val="center"/>
              <w:rPr>
                <w:rFonts w:eastAsia="MS Mincho" w:cs="Times New Roman"/>
                <w:color w:val="auto"/>
                <w:sz w:val="20"/>
                <w:szCs w:val="20"/>
                <w:lang w:eastAsia="fr-FR"/>
              </w:rPr>
            </w:pPr>
          </w:p>
        </w:tc>
      </w:tr>
      <w:bookmarkEnd w:id="16"/>
    </w:tbl>
    <w:p w14:paraId="371B10B0">
      <w:pPr>
        <w:pStyle w:val="18"/>
        <w:numPr>
          <w:ilvl w:val="0"/>
          <w:numId w:val="0"/>
        </w:numPr>
        <w:spacing w:before="0"/>
        <w:ind w:left="720"/>
        <w:contextualSpacing/>
        <w:rPr>
          <w:rFonts w:hint="default"/>
          <w:sz w:val="20"/>
          <w:szCs w:val="20"/>
          <w:lang w:val="fr-FR"/>
        </w:rPr>
      </w:pPr>
      <w:r>
        <w:rPr>
          <w:rFonts w:hint="default"/>
          <w:sz w:val="20"/>
          <w:szCs w:val="20"/>
          <w:lang w:val="fr-FR"/>
        </w:rPr>
        <w:t>(* si dégressivité)</w:t>
      </w:r>
    </w:p>
    <w:bookmarkEnd w:id="17"/>
    <w:tbl>
      <w:tblPr>
        <w:tblStyle w:val="85"/>
        <w:tblpPr w:leftFromText="180" w:rightFromText="180" w:vertAnchor="text" w:horzAnchor="page" w:tblpX="1011" w:tblpY="197"/>
        <w:tblOverlap w:val="never"/>
        <w:tblW w:w="501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29"/>
        <w:gridCol w:w="2880"/>
        <w:gridCol w:w="2023"/>
        <w:gridCol w:w="2504"/>
      </w:tblGrid>
      <w:tr w14:paraId="1E24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2520" w:type="pct"/>
            <w:tcBorders>
              <w:bottom w:val="single" w:color="auto" w:sz="12" w:space="0"/>
            </w:tcBorders>
            <w:shd w:val="clear" w:color="auto" w:fill="C2E0EB" w:themeFill="accent5" w:themeFillTint="66"/>
            <w:vAlign w:val="center"/>
          </w:tcPr>
          <w:p w14:paraId="5675A47F">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 xml:space="preserve">Formation </w:t>
            </w:r>
            <w:r>
              <w:rPr>
                <w:rFonts w:eastAsia="MS Mincho" w:cs="Times New Roman"/>
                <w:b/>
                <w:bCs/>
                <w:color w:val="auto"/>
                <w:sz w:val="20"/>
                <w:szCs w:val="20"/>
                <w:shd w:val="clear" w:fill="FFFF00"/>
                <w:lang w:eastAsia="fr-FR"/>
              </w:rPr>
              <w:t xml:space="preserve">en </w:t>
            </w:r>
            <w:r>
              <w:rPr>
                <w:rFonts w:hint="default" w:eastAsia="MS Mincho" w:cs="Times New Roman"/>
                <w:b/>
                <w:bCs/>
                <w:color w:val="auto"/>
                <w:sz w:val="20"/>
                <w:szCs w:val="20"/>
                <w:shd w:val="clear" w:fill="FFFF00"/>
                <w:lang w:val="en-US" w:eastAsia="fr-FR"/>
              </w:rPr>
              <w:t>distanc</w:t>
            </w:r>
            <w:r>
              <w:rPr>
                <w:rFonts w:eastAsia="MS Mincho" w:cs="Times New Roman"/>
                <w:b/>
                <w:bCs/>
                <w:color w:val="auto"/>
                <w:sz w:val="20"/>
                <w:szCs w:val="20"/>
                <w:shd w:val="clear" w:fill="FFFF00"/>
                <w:lang w:eastAsia="fr-FR"/>
              </w:rPr>
              <w:t>iel</w:t>
            </w:r>
          </w:p>
        </w:tc>
        <w:tc>
          <w:tcPr>
            <w:tcW w:w="964" w:type="pct"/>
            <w:tcBorders>
              <w:bottom w:val="single" w:color="auto" w:sz="12" w:space="0"/>
            </w:tcBorders>
            <w:shd w:val="clear" w:color="auto" w:fill="C2E0EB" w:themeFill="accent5" w:themeFillTint="66"/>
            <w:vAlign w:val="center"/>
          </w:tcPr>
          <w:p w14:paraId="58AAB7BB">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Nombre de jours de formation</w:t>
            </w:r>
          </w:p>
        </w:tc>
        <w:tc>
          <w:tcPr>
            <w:tcW w:w="677" w:type="pct"/>
            <w:tcBorders>
              <w:bottom w:val="single" w:color="auto" w:sz="12" w:space="0"/>
            </w:tcBorders>
            <w:shd w:val="clear" w:color="auto" w:fill="C2E0EB" w:themeFill="accent5" w:themeFillTint="66"/>
            <w:vAlign w:val="center"/>
          </w:tcPr>
          <w:p w14:paraId="32A6415A">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HT</w:t>
            </w:r>
          </w:p>
        </w:tc>
        <w:tc>
          <w:tcPr>
            <w:tcW w:w="838" w:type="pct"/>
            <w:tcBorders>
              <w:bottom w:val="single" w:color="auto" w:sz="12" w:space="0"/>
            </w:tcBorders>
            <w:shd w:val="clear" w:color="auto" w:fill="C2E0EB" w:themeFill="accent5" w:themeFillTint="66"/>
            <w:vAlign w:val="center"/>
          </w:tcPr>
          <w:p w14:paraId="66757F87">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remisé</w:t>
            </w:r>
          </w:p>
        </w:tc>
      </w:tr>
      <w:tr w14:paraId="6D4F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2520" w:type="pct"/>
            <w:tcBorders>
              <w:top w:val="single" w:color="auto" w:sz="12" w:space="0"/>
              <w:bottom w:val="single" w:color="auto" w:sz="12" w:space="0"/>
            </w:tcBorders>
            <w:shd w:val="clear" w:color="auto" w:fill="C2E0EB" w:themeFill="accent5" w:themeFillTint="66"/>
            <w:vAlign w:val="center"/>
          </w:tcPr>
          <w:p w14:paraId="3217AEE9">
            <w:pPr>
              <w:spacing w:before="200" w:after="200" w:line="480" w:lineRule="auto"/>
              <w:jc w:val="center"/>
              <w:rPr>
                <w:rFonts w:hint="default" w:eastAsia="MS Mincho" w:cs="Times New Roman"/>
                <w:b/>
                <w:bCs/>
                <w:color w:val="auto"/>
                <w:sz w:val="20"/>
                <w:szCs w:val="20"/>
                <w:lang w:val="en-US" w:eastAsia="fr-FR"/>
              </w:rPr>
            </w:pPr>
            <w:r>
              <w:rPr>
                <w:rFonts w:eastAsia="MS Mincho" w:cs="Times New Roman"/>
                <w:b/>
                <w:bCs/>
                <w:color w:val="auto"/>
                <w:sz w:val="20"/>
                <w:szCs w:val="20"/>
                <w:lang w:eastAsia="fr-FR"/>
              </w:rPr>
              <w:t>Prix d</w:t>
            </w:r>
            <w:r>
              <w:rPr>
                <w:rFonts w:hint="default" w:eastAsia="MS Mincho" w:cs="Times New Roman"/>
                <w:b/>
                <w:bCs/>
                <w:color w:val="auto"/>
                <w:sz w:val="20"/>
                <w:szCs w:val="20"/>
                <w:lang w:val="en-US" w:eastAsia="fr-FR"/>
              </w:rPr>
              <w:t xml:space="preserve">e la 1ère </w:t>
            </w:r>
            <w:r>
              <w:rPr>
                <w:rFonts w:eastAsia="MS Mincho" w:cs="Times New Roman"/>
                <w:b/>
                <w:bCs/>
                <w:color w:val="auto"/>
                <w:sz w:val="20"/>
                <w:szCs w:val="20"/>
                <w:lang w:eastAsia="fr-FR"/>
              </w:rPr>
              <w:t xml:space="preserve">session </w:t>
            </w:r>
            <w:r>
              <w:rPr>
                <w:rFonts w:hint="default" w:eastAsia="MS Mincho" w:cs="Times New Roman"/>
                <w:b/>
                <w:bCs/>
                <w:color w:val="auto"/>
                <w:sz w:val="20"/>
                <w:szCs w:val="20"/>
                <w:lang w:val="en-US" w:eastAsia="fr-FR"/>
              </w:rPr>
              <w:t>pour 1 stagiaire</w:t>
            </w:r>
          </w:p>
        </w:tc>
        <w:tc>
          <w:tcPr>
            <w:tcW w:w="964" w:type="pct"/>
            <w:tcBorders>
              <w:top w:val="single" w:color="auto" w:sz="12" w:space="0"/>
              <w:bottom w:val="single" w:color="auto" w:sz="12" w:space="0"/>
            </w:tcBorders>
            <w:vAlign w:val="center"/>
          </w:tcPr>
          <w:p w14:paraId="73A72339">
            <w:pPr>
              <w:spacing w:before="200" w:after="200" w:line="276" w:lineRule="auto"/>
              <w:jc w:val="center"/>
              <w:rPr>
                <w:rFonts w:eastAsia="MS Mincho" w:cs="Times New Roman"/>
                <w:color w:val="auto"/>
                <w:sz w:val="20"/>
                <w:szCs w:val="20"/>
                <w:lang w:eastAsia="fr-FR"/>
              </w:rPr>
            </w:pPr>
          </w:p>
        </w:tc>
        <w:tc>
          <w:tcPr>
            <w:tcW w:w="677" w:type="pct"/>
            <w:tcBorders>
              <w:top w:val="single" w:color="auto" w:sz="12" w:space="0"/>
              <w:bottom w:val="single" w:color="auto" w:sz="12" w:space="0"/>
            </w:tcBorders>
            <w:vAlign w:val="center"/>
          </w:tcPr>
          <w:p w14:paraId="325984C2">
            <w:pPr>
              <w:spacing w:before="200" w:after="200" w:line="276" w:lineRule="auto"/>
              <w:jc w:val="center"/>
              <w:rPr>
                <w:rFonts w:eastAsia="MS Mincho" w:cs="Times New Roman"/>
                <w:color w:val="auto"/>
                <w:sz w:val="20"/>
                <w:szCs w:val="20"/>
                <w:lang w:eastAsia="fr-FR"/>
              </w:rPr>
            </w:pPr>
          </w:p>
        </w:tc>
        <w:tc>
          <w:tcPr>
            <w:tcW w:w="838" w:type="pct"/>
            <w:tcBorders>
              <w:top w:val="single" w:color="auto" w:sz="12" w:space="0"/>
              <w:bottom w:val="single" w:color="auto" w:sz="12" w:space="0"/>
            </w:tcBorders>
            <w:vAlign w:val="center"/>
          </w:tcPr>
          <w:p w14:paraId="258DD10A">
            <w:pPr>
              <w:spacing w:before="200" w:after="200" w:line="276" w:lineRule="auto"/>
              <w:jc w:val="center"/>
              <w:rPr>
                <w:rFonts w:eastAsia="MS Mincho" w:cs="Times New Roman"/>
                <w:color w:val="auto"/>
                <w:sz w:val="20"/>
                <w:szCs w:val="20"/>
                <w:lang w:eastAsia="fr-FR"/>
              </w:rPr>
            </w:pPr>
          </w:p>
        </w:tc>
      </w:tr>
      <w:tr w14:paraId="7B8D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520" w:type="pct"/>
            <w:tcBorders>
              <w:top w:val="single" w:color="auto" w:sz="12" w:space="0"/>
              <w:bottom w:val="single" w:color="auto" w:sz="4" w:space="0"/>
            </w:tcBorders>
            <w:shd w:val="clear" w:color="auto" w:fill="C2E0EB" w:themeFill="accent5" w:themeFillTint="66"/>
            <w:vAlign w:val="center"/>
          </w:tcPr>
          <w:p w14:paraId="00D2D2B8">
            <w:pPr>
              <w:keepNext w:val="0"/>
              <w:keepLines w:val="0"/>
              <w:pageBreakBefore w:val="0"/>
              <w:widowControl/>
              <w:kinsoku/>
              <w:wordWrap/>
              <w:overflowPunct/>
              <w:topLinePunct w:val="0"/>
              <w:autoSpaceDE/>
              <w:autoSpaceDN/>
              <w:bidi w:val="0"/>
              <w:adjustRightInd/>
              <w:snapToGrid/>
              <w:spacing w:before="80" w:after="80" w:line="276" w:lineRule="auto"/>
              <w:jc w:val="center"/>
              <w:textAlignment w:val="auto"/>
              <w:rPr>
                <w:rFonts w:eastAsia="MS Mincho" w:cs="Times New Roman"/>
                <w:b/>
                <w:bCs/>
                <w:color w:val="auto"/>
                <w:sz w:val="20"/>
                <w:szCs w:val="20"/>
                <w:lang w:eastAsia="fr-FR"/>
              </w:rPr>
            </w:pPr>
          </w:p>
          <w:p w14:paraId="4B14AF65">
            <w:pPr>
              <w:keepNext w:val="0"/>
              <w:keepLines w:val="0"/>
              <w:pageBreakBefore w:val="0"/>
              <w:widowControl/>
              <w:kinsoku/>
              <w:wordWrap/>
              <w:overflowPunct/>
              <w:topLinePunct w:val="0"/>
              <w:autoSpaceDE/>
              <w:autoSpaceDN/>
              <w:bidi w:val="0"/>
              <w:adjustRightInd/>
              <w:snapToGrid/>
              <w:spacing w:before="80" w:after="80" w:line="276" w:lineRule="auto"/>
              <w:jc w:val="center"/>
              <w:textAlignment w:val="auto"/>
              <w:rPr>
                <w:rFonts w:hint="default" w:eastAsia="MS Mincho" w:cs="Times New Roman"/>
                <w:b/>
                <w:bCs/>
                <w:color w:val="auto"/>
                <w:sz w:val="20"/>
                <w:szCs w:val="20"/>
                <w:lang w:val="en-US" w:eastAsia="fr-FR"/>
              </w:rPr>
            </w:pPr>
            <w:r>
              <w:rPr>
                <w:rFonts w:eastAsia="MS Mincho" w:cs="Times New Roman"/>
                <w:b/>
                <w:bCs/>
                <w:color w:val="auto"/>
                <w:sz w:val="20"/>
                <w:szCs w:val="20"/>
                <w:lang w:eastAsia="fr-FR"/>
              </w:rPr>
              <w:t>Prix</w:t>
            </w:r>
            <w:r>
              <w:rPr>
                <w:rFonts w:hint="default" w:eastAsia="MS Mincho" w:cs="Times New Roman"/>
                <w:b/>
                <w:bCs/>
                <w:color w:val="auto"/>
                <w:sz w:val="20"/>
                <w:szCs w:val="20"/>
                <w:lang w:val="en-US" w:eastAsia="fr-FR"/>
              </w:rPr>
              <w:t>*</w:t>
            </w:r>
            <w:r>
              <w:rPr>
                <w:rFonts w:eastAsia="MS Mincho" w:cs="Times New Roman"/>
                <w:b/>
                <w:bCs/>
                <w:color w:val="auto"/>
                <w:sz w:val="20"/>
                <w:szCs w:val="20"/>
                <w:lang w:eastAsia="fr-FR"/>
              </w:rPr>
              <w:t xml:space="preserve"> d</w:t>
            </w:r>
            <w:r>
              <w:rPr>
                <w:rFonts w:hint="default" w:eastAsia="MS Mincho" w:cs="Times New Roman"/>
                <w:b/>
                <w:bCs/>
                <w:color w:val="auto"/>
                <w:sz w:val="20"/>
                <w:szCs w:val="20"/>
                <w:lang w:val="en-US" w:eastAsia="fr-FR"/>
              </w:rPr>
              <w:t xml:space="preserve">e la </w:t>
            </w:r>
            <w:r>
              <w:rPr>
                <w:rFonts w:eastAsia="MS Mincho" w:cs="Times New Roman"/>
                <w:b/>
                <w:bCs/>
                <w:color w:val="auto"/>
                <w:sz w:val="20"/>
                <w:szCs w:val="20"/>
                <w:lang w:eastAsia="fr-FR"/>
              </w:rPr>
              <w:t xml:space="preserve">session </w:t>
            </w:r>
            <w:r>
              <w:rPr>
                <w:rFonts w:hint="default" w:eastAsia="MS Mincho" w:cs="Times New Roman"/>
                <w:b/>
                <w:bCs/>
                <w:color w:val="auto"/>
                <w:sz w:val="20"/>
                <w:szCs w:val="20"/>
                <w:lang w:val="en-US" w:eastAsia="fr-FR"/>
              </w:rPr>
              <w:t>supplémentaire pour 1 stagiaire</w:t>
            </w:r>
          </w:p>
        </w:tc>
        <w:tc>
          <w:tcPr>
            <w:tcW w:w="964" w:type="pct"/>
            <w:tcBorders>
              <w:top w:val="single" w:color="auto" w:sz="12" w:space="0"/>
              <w:bottom w:val="single" w:color="auto" w:sz="4" w:space="0"/>
            </w:tcBorders>
            <w:vAlign w:val="center"/>
          </w:tcPr>
          <w:p w14:paraId="22E475C0">
            <w:pPr>
              <w:spacing w:before="200" w:after="200" w:line="276" w:lineRule="auto"/>
              <w:jc w:val="center"/>
              <w:rPr>
                <w:rFonts w:hint="default" w:eastAsia="MS Mincho" w:cs="Times New Roman"/>
                <w:color w:val="auto"/>
                <w:sz w:val="20"/>
                <w:szCs w:val="20"/>
                <w:lang w:val="en-US" w:eastAsia="fr-FR"/>
              </w:rPr>
            </w:pPr>
          </w:p>
        </w:tc>
        <w:tc>
          <w:tcPr>
            <w:tcW w:w="677" w:type="pct"/>
            <w:tcBorders>
              <w:top w:val="single" w:color="auto" w:sz="12" w:space="0"/>
              <w:bottom w:val="single" w:color="auto" w:sz="4" w:space="0"/>
            </w:tcBorders>
            <w:vAlign w:val="center"/>
          </w:tcPr>
          <w:p w14:paraId="30E03EB4">
            <w:pPr>
              <w:spacing w:before="200" w:after="200" w:line="276" w:lineRule="auto"/>
              <w:jc w:val="center"/>
              <w:rPr>
                <w:rFonts w:eastAsia="MS Mincho" w:cs="Times New Roman"/>
                <w:color w:val="auto"/>
                <w:sz w:val="20"/>
                <w:szCs w:val="20"/>
                <w:lang w:eastAsia="fr-FR"/>
              </w:rPr>
            </w:pPr>
          </w:p>
        </w:tc>
        <w:tc>
          <w:tcPr>
            <w:tcW w:w="838" w:type="pct"/>
            <w:tcBorders>
              <w:top w:val="single" w:color="auto" w:sz="12" w:space="0"/>
              <w:bottom w:val="single" w:color="auto" w:sz="4" w:space="0"/>
            </w:tcBorders>
            <w:vAlign w:val="center"/>
          </w:tcPr>
          <w:p w14:paraId="09494F6C">
            <w:pPr>
              <w:spacing w:before="200" w:after="200" w:line="276" w:lineRule="auto"/>
              <w:jc w:val="center"/>
              <w:rPr>
                <w:rFonts w:eastAsia="MS Mincho" w:cs="Times New Roman"/>
                <w:color w:val="auto"/>
                <w:sz w:val="20"/>
                <w:szCs w:val="20"/>
                <w:lang w:eastAsia="fr-FR"/>
              </w:rPr>
            </w:pPr>
          </w:p>
        </w:tc>
      </w:tr>
    </w:tbl>
    <w:p w14:paraId="2B9E3123">
      <w:pPr>
        <w:pStyle w:val="18"/>
        <w:numPr>
          <w:ilvl w:val="0"/>
          <w:numId w:val="0"/>
        </w:numPr>
        <w:spacing w:before="0"/>
        <w:ind w:left="720"/>
        <w:contextualSpacing/>
        <w:rPr>
          <w:rFonts w:hint="default"/>
          <w:sz w:val="20"/>
          <w:szCs w:val="20"/>
          <w:lang w:val="fr-FR"/>
        </w:rPr>
      </w:pPr>
      <w:r>
        <w:rPr>
          <w:rFonts w:hint="default"/>
          <w:sz w:val="20"/>
          <w:szCs w:val="20"/>
          <w:lang w:val="fr-FR"/>
        </w:rPr>
        <w:t xml:space="preserve"> (* si dégressivité)</w:t>
      </w:r>
    </w:p>
    <w:p w14:paraId="1EB15E35">
      <w:pPr>
        <w:rPr>
          <w:rFonts w:hint="default"/>
          <w:sz w:val="20"/>
          <w:szCs w:val="20"/>
          <w:lang w:val="fr-FR"/>
        </w:rPr>
      </w:pPr>
    </w:p>
    <w:sectPr>
      <w:pgSz w:w="16838" w:h="11906" w:orient="landscape"/>
      <w:pgMar w:top="1440" w:right="1080" w:bottom="1440" w:left="1080" w:header="1128" w:footer="851"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Marianne">
    <w:panose1 w:val="02000000000000000000"/>
    <w:charset w:val="00"/>
    <w:family w:val="modern"/>
    <w:pitch w:val="default"/>
    <w:sig w:usb0="0000000F" w:usb1="00000000" w:usb2="00000000" w:usb3="00000000" w:csb0="00000003"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B3AE7">
    <w:pPr>
      <w:pStyle w:val="26"/>
      <w:tabs>
        <w:tab w:val="right" w:pos="9072"/>
      </w:tabs>
      <w:rPr>
        <w:rFonts w:hint="default"/>
        <w:lang w:val="fr-FR"/>
      </w:rPr>
    </w:pPr>
    <w:r>
      <w:rPr>
        <w:rStyle w:val="46"/>
      </w:rPr>
      <w:t xml:space="preserve">IGN I </w:t>
    </w:r>
    <w:r>
      <w:t>Service des Achats et des Marchés</w:t>
    </w:r>
    <w:r>
      <w:rPr>
        <w:rFonts w:hint="default"/>
        <w:lang w:val="fr-FR"/>
      </w:rPr>
      <w:t xml:space="preserve"> </w:t>
    </w:r>
    <w:r>
      <w:t>-</w:t>
    </w:r>
    <w:r>
      <w:rPr>
        <w:rFonts w:hint="default"/>
        <w:lang w:val="fr-FR"/>
      </w:rPr>
      <w:t xml:space="preserve"> </w:t>
    </w:r>
    <w:r>
      <w:t>Prestation de formation</w:t>
    </w:r>
    <w:r>
      <w:rPr>
        <w:rFonts w:hint="default"/>
        <w:lang w:val="fr-FR"/>
      </w:rPr>
      <w:t xml:space="preserve"> Figma Design</w:t>
    </w:r>
    <w:r>
      <w:t xml:space="preserve"> - CCP-AE-GBM_2</w:t>
    </w:r>
    <w:r>
      <w:rPr>
        <w:rFonts w:hint="default"/>
        <w:lang w:val="fr-FR"/>
      </w:rPr>
      <w:t>6046</w:t>
    </w:r>
  </w:p>
  <w:p w14:paraId="164DEF0A">
    <w:pPr>
      <w:pStyle w:val="26"/>
      <w:tabs>
        <w:tab w:val="right" w:pos="9072"/>
      </w:tabs>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C">
    <w:pPr>
      <w:pStyle w:val="26"/>
      <w:tabs>
        <w:tab w:val="right" w:pos="9072"/>
        <w:tab w:val="clear" w:pos="9639"/>
      </w:tabs>
    </w:pPr>
    <w:r>
      <w:t>Arcep-Direction-référence de la note</w:t>
    </w:r>
    <w:r>
      <w:tab/>
    </w: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BA9DA">
    <w:pPr>
      <w:pStyle w:val="27"/>
      <w:jc w:val="center"/>
    </w:pPr>
    <w:r>
      <w:rPr>
        <w:lang w:eastAsia="fr-FR"/>
      </w:rPr>
      <w:drawing>
        <wp:anchor distT="0" distB="0" distL="114300" distR="114300" simplePos="0" relativeHeight="251661312" behindDoc="0" locked="0" layoutInCell="1" allowOverlap="1">
          <wp:simplePos x="0" y="0"/>
          <wp:positionH relativeFrom="margin">
            <wp:posOffset>3462020</wp:posOffset>
          </wp:positionH>
          <wp:positionV relativeFrom="paragraph">
            <wp:posOffset>-581660</wp:posOffset>
          </wp:positionV>
          <wp:extent cx="1873885" cy="885825"/>
          <wp:effectExtent l="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882086" cy="889541"/>
                  </a:xfrm>
                  <a:prstGeom prst="rect">
                    <a:avLst/>
                  </a:prstGeom>
                  <a:noFill/>
                  <a:ln>
                    <a:noFill/>
                  </a:ln>
                </pic:spPr>
              </pic:pic>
            </a:graphicData>
          </a:graphic>
        </wp:anchor>
      </w:drawing>
    </w:r>
    <w:r>
      <w:rPr>
        <w:lang w:eastAsia="fr-FR"/>
      </w:rPr>
      <w:drawing>
        <wp:anchor distT="0" distB="0" distL="114300" distR="114300" simplePos="0" relativeHeight="251659264" behindDoc="0" locked="0" layoutInCell="1" allowOverlap="1">
          <wp:simplePos x="0" y="0"/>
          <wp:positionH relativeFrom="margin">
            <wp:align>left</wp:align>
          </wp:positionH>
          <wp:positionV relativeFrom="paragraph">
            <wp:posOffset>-716915</wp:posOffset>
          </wp:positionV>
          <wp:extent cx="1357630" cy="1228725"/>
          <wp:effectExtent l="0" t="0" r="0" b="0"/>
          <wp:wrapTight wrapText="bothSides">
            <wp:wrapPolygon>
              <wp:start x="1819" y="2009"/>
              <wp:lineTo x="1819" y="19088"/>
              <wp:lineTo x="9396" y="19088"/>
              <wp:lineTo x="7880" y="13730"/>
              <wp:lineTo x="14851" y="13395"/>
              <wp:lineTo x="19398" y="11386"/>
              <wp:lineTo x="19701" y="7367"/>
              <wp:lineTo x="10002" y="2009"/>
              <wp:lineTo x="1819" y="2009"/>
            </wp:wrapPolygon>
          </wp:wrapTight>
          <wp:docPr id="1" name="Image 1"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Mac:Users:xavier.hasendahl:Desktop:ELEMENTS TEMPLATES SIG:LOGOS:REPUBLIQUE_FRANCAISE:eps:Republique_Francaise_CMJN.ep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57630" cy="1228725"/>
                  </a:xfrm>
                  <a:prstGeom prst="rect">
                    <a:avLst/>
                  </a:prstGeom>
                  <a:noFill/>
                  <a:ln>
                    <a:noFill/>
                  </a:ln>
                </pic:spPr>
              </pic:pic>
            </a:graphicData>
          </a:graphic>
        </wp:anchor>
      </w:drawing>
    </w:r>
  </w:p>
  <w:p w14:paraId="73A9812D">
    <w:pPr>
      <w:pStyle w:val="27"/>
      <w:jc w:val="center"/>
    </w:pPr>
  </w:p>
  <w:p w14:paraId="164DEF09">
    <w:pPr>
      <w:pStyle w:val="27"/>
      <w:jc w:val="center"/>
    </w:pPr>
    <w:r>
      <w:rPr>
        <w:lang w:eastAsia="fr-FR"/>
      </w:rPr>
      <mc:AlternateContent>
        <mc:Choice Requires="wps">
          <w:drawing>
            <wp:anchor distT="0" distB="0" distL="114300" distR="114300" simplePos="0" relativeHeight="251660288" behindDoc="0" locked="0" layoutInCell="1" allowOverlap="1">
              <wp:simplePos x="0" y="0"/>
              <wp:positionH relativeFrom="column">
                <wp:posOffset>6950075</wp:posOffset>
              </wp:positionH>
              <wp:positionV relativeFrom="paragraph">
                <wp:posOffset>15875</wp:posOffset>
              </wp:positionV>
              <wp:extent cx="643255" cy="600710"/>
              <wp:effectExtent l="6350" t="6350" r="7620" b="12065"/>
              <wp:wrapNone/>
              <wp:docPr id="6" name="Rectangle 6"/>
              <wp:cNvGraphicFramePr/>
              <a:graphic xmlns:a="http://schemas.openxmlformats.org/drawingml/2006/main">
                <a:graphicData uri="http://schemas.microsoft.com/office/word/2010/wordprocessingShape">
                  <wps:wsp>
                    <wps:cNvSpPr>
                      <a:spLocks noChangeArrowheads="1"/>
                    </wps:cNvSpPr>
                    <wps:spPr bwMode="auto">
                      <a:xfrm>
                        <a:off x="0" y="0"/>
                        <a:ext cx="643255" cy="60071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47.25pt;margin-top:1.25pt;height:47.3pt;width:50.65pt;z-index:251660288;mso-width-relative:page;mso-height-relative:page;" fillcolor="#FFFFFF" filled="t" stroked="t" coordsize="21600,21600" o:gfxdata="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yeniNcAAAAKAQAADwAAAAAAAAABACAAAAAiAAAAZHJzL2Rvd25yZXYueG1sUEsBAhQAFAAA&#10;AAgAh07iQOj7FEwpAgAAcQQAAA4AAAAAAAAAAQAgAAAAJgEAAGRycy9lMm9Eb2MueG1sUEsFBgAA&#10;AAAGAAYAWQEAAMEFAAAAAA==&#10;">
              <v:fill on="t" focussize="0,0"/>
              <v:stroke color="#000000"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B">
    <w:pPr>
      <w:pStyle w:val="27"/>
      <w:tabs>
        <w:tab w:val="clear" w:pos="4513"/>
        <w:tab w:val="clear" w:pos="9026"/>
      </w:tabs>
      <w:jc w:val="center"/>
      <w:rPr>
        <w:rFonts w:cstheme="minorHAn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D">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5161C4"/>
    <w:multiLevelType w:val="multilevel"/>
    <w:tmpl w:val="165161C4"/>
    <w:lvl w:ilvl="0" w:tentative="0">
      <w:start w:val="1"/>
      <w:numFmt w:val="bullet"/>
      <w:lvlText w:val=""/>
      <w:lvlJc w:val="left"/>
      <w:pPr>
        <w:ind w:left="720" w:hanging="360"/>
      </w:pPr>
      <w:rPr>
        <w:rFonts w:hint="default" w:ascii="Symbol" w:hAnsi="Symbol"/>
        <w:sz w:val="22"/>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F511142"/>
    <w:multiLevelType w:val="multilevel"/>
    <w:tmpl w:val="1F5111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18" w:hanging="576"/>
      </w:pPr>
      <w:rPr>
        <w:rFonts w:hint="default"/>
      </w:rPr>
    </w:lvl>
    <w:lvl w:ilvl="2" w:tentative="0">
      <w:start w:val="1"/>
      <w:numFmt w:val="decimal"/>
      <w:pStyle w:val="4"/>
      <w:lvlText w:val="%1.%2.%3"/>
      <w:lvlJc w:val="left"/>
      <w:pPr>
        <w:ind w:left="1021" w:hanging="1021"/>
      </w:pPr>
      <w:rPr>
        <w:rFonts w:hint="default"/>
        <w:b w:val="0"/>
        <w:bCs w:val="0"/>
        <w:i w:val="0"/>
        <w:iCs w:val="0"/>
        <w:caps w:val="0"/>
        <w:smallCaps w:val="0"/>
        <w:strike w:val="0"/>
        <w:dstrike w:val="0"/>
        <w:vanish w:val="0"/>
        <w:color w:val="232253" w:themeColor="text2"/>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2"/>
          </w14:solidFill>
        </w14:textFill>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lowerLetter"/>
      <w:pStyle w:val="5"/>
      <w:lvlText w:val="%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2">
    <w:nsid w:val="21D34A54"/>
    <w:multiLevelType w:val="multilevel"/>
    <w:tmpl w:val="21D34A54"/>
    <w:lvl w:ilvl="0" w:tentative="0">
      <w:start w:val="101"/>
      <w:numFmt w:val="bullet"/>
      <w:pStyle w:val="31"/>
      <w:lvlText w:val="-"/>
      <w:lvlJc w:val="left"/>
      <w:pPr>
        <w:ind w:left="720" w:hanging="360"/>
      </w:pPr>
      <w:rPr>
        <w:rFonts w:hint="default" w:cs="Times New Roman" w:asciiTheme="minorHAnsi" w:hAnsiTheme="minorHAnsi"/>
        <w:color w:val="232253" w:themeColor="text2"/>
        <w14:textFill>
          <w14:solidFill>
            <w14:schemeClr w14:val="tx2"/>
          </w14:solidFill>
        </w14:textFil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80156E2"/>
    <w:multiLevelType w:val="multilevel"/>
    <w:tmpl w:val="280156E2"/>
    <w:lvl w:ilvl="0" w:tentative="0">
      <w:start w:val="1"/>
      <w:numFmt w:val="decimal"/>
      <w:pStyle w:val="23"/>
      <w:lvlText w:val="%1."/>
      <w:lvlJc w:val="left"/>
      <w:pPr>
        <w:tabs>
          <w:tab w:val="left" w:pos="567"/>
        </w:tabs>
        <w:ind w:left="567" w:hanging="283"/>
      </w:pPr>
      <w:rPr>
        <w:rFonts w:hint="default"/>
        <w:color w:val="232253" w:themeColor="text2"/>
        <w14:textFill>
          <w14:solidFill>
            <w14:schemeClr w14:val="tx2"/>
          </w14:solidFill>
        </w14:textFill>
      </w:rPr>
    </w:lvl>
    <w:lvl w:ilvl="1" w:tentative="0">
      <w:start w:val="1"/>
      <w:numFmt w:val="lowerLetter"/>
      <w:lvlText w:val="%2."/>
      <w:lvlJc w:val="left"/>
      <w:pPr>
        <w:tabs>
          <w:tab w:val="left" w:pos="851"/>
        </w:tabs>
        <w:ind w:left="851" w:hanging="284"/>
      </w:pPr>
      <w:rPr>
        <w:rFonts w:hint="default"/>
        <w:color w:val="5A58BA" w:themeColor="text2" w:themeTint="99"/>
        <w14:textFill>
          <w14:solidFill>
            <w14:schemeClr w14:val="tx2">
              <w14:lumMod w14:val="60000"/>
              <w14:lumOff w14:val="40000"/>
            </w14:schemeClr>
          </w14:solidFill>
        </w14:textFill>
      </w:rPr>
    </w:lvl>
    <w:lvl w:ilvl="2" w:tentative="0">
      <w:start w:val="1"/>
      <w:numFmt w:val="lowerLetter"/>
      <w:lvlText w:val="(%3)"/>
      <w:lvlJc w:val="left"/>
      <w:pPr>
        <w:ind w:left="908" w:hanging="170"/>
      </w:pPr>
      <w:rPr>
        <w:rFonts w:hint="default"/>
      </w:rPr>
    </w:lvl>
    <w:lvl w:ilvl="3" w:tentative="0">
      <w:start w:val="1"/>
      <w:numFmt w:val="lowerRoman"/>
      <w:lvlText w:val="(%4)"/>
      <w:lvlJc w:val="right"/>
      <w:pPr>
        <w:ind w:left="1135" w:hanging="170"/>
      </w:pPr>
      <w:rPr>
        <w:rFonts w:hint="default"/>
      </w:rPr>
    </w:lvl>
    <w:lvl w:ilvl="4" w:tentative="0">
      <w:start w:val="1"/>
      <w:numFmt w:val="decimal"/>
      <w:lvlText w:val="%5)"/>
      <w:lvlJc w:val="left"/>
      <w:pPr>
        <w:ind w:left="1362" w:hanging="170"/>
      </w:pPr>
      <w:rPr>
        <w:rFonts w:hint="default"/>
      </w:rPr>
    </w:lvl>
    <w:lvl w:ilvl="5" w:tentative="0">
      <w:start w:val="1"/>
      <w:numFmt w:val="lowerLetter"/>
      <w:lvlText w:val="%6)"/>
      <w:lvlJc w:val="left"/>
      <w:pPr>
        <w:ind w:left="1589" w:hanging="170"/>
      </w:pPr>
      <w:rPr>
        <w:rFonts w:hint="default"/>
      </w:rPr>
    </w:lvl>
    <w:lvl w:ilvl="6" w:tentative="0">
      <w:start w:val="1"/>
      <w:numFmt w:val="lowerRoman"/>
      <w:lvlText w:val="%7)"/>
      <w:lvlJc w:val="right"/>
      <w:pPr>
        <w:ind w:left="1816" w:hanging="170"/>
      </w:pPr>
      <w:rPr>
        <w:rFonts w:hint="default"/>
      </w:rPr>
    </w:lvl>
    <w:lvl w:ilvl="7" w:tentative="0">
      <w:start w:val="1"/>
      <w:numFmt w:val="lowerLetter"/>
      <w:lvlText w:val="%8."/>
      <w:lvlJc w:val="left"/>
      <w:pPr>
        <w:ind w:left="2043" w:hanging="170"/>
      </w:pPr>
      <w:rPr>
        <w:rFonts w:hint="default"/>
      </w:rPr>
    </w:lvl>
    <w:lvl w:ilvl="8" w:tentative="0">
      <w:start w:val="1"/>
      <w:numFmt w:val="lowerRoman"/>
      <w:lvlText w:val="%9."/>
      <w:lvlJc w:val="right"/>
      <w:pPr>
        <w:ind w:left="2270" w:hanging="170"/>
      </w:pPr>
      <w:rPr>
        <w:rFonts w:hint="default"/>
      </w:rPr>
    </w:lvl>
  </w:abstractNum>
  <w:abstractNum w:abstractNumId="4">
    <w:nsid w:val="3CC815AE"/>
    <w:multiLevelType w:val="multilevel"/>
    <w:tmpl w:val="3CC815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2C5492E"/>
    <w:multiLevelType w:val="multilevel"/>
    <w:tmpl w:val="42C5492E"/>
    <w:lvl w:ilvl="0" w:tentative="0">
      <w:start w:val="1"/>
      <w:numFmt w:val="decimal"/>
      <w:lvlText w:val="%1."/>
      <w:lvlJc w:val="left"/>
      <w:pPr>
        <w:tabs>
          <w:tab w:val="left" w:pos="567"/>
        </w:tabs>
        <w:ind w:left="567" w:hanging="283"/>
      </w:pPr>
      <w:rPr>
        <w:rFonts w:hint="default"/>
      </w:rPr>
    </w:lvl>
    <w:lvl w:ilvl="1" w:tentative="0">
      <w:start w:val="1"/>
      <w:numFmt w:val="lowerLetter"/>
      <w:pStyle w:val="28"/>
      <w:lvlText w:val="%2."/>
      <w:lvlJc w:val="left"/>
      <w:pPr>
        <w:tabs>
          <w:tab w:val="left" w:pos="851"/>
        </w:tabs>
        <w:ind w:left="851" w:hanging="284"/>
      </w:pPr>
      <w:rPr>
        <w:rFonts w:hint="default"/>
        <w:color w:val="232253" w:themeColor="text2"/>
        <w14:textFill>
          <w14:solidFill>
            <w14:schemeClr w14:val="tx2"/>
          </w14:solidFill>
        </w14:textFill>
      </w:rPr>
    </w:lvl>
    <w:lvl w:ilvl="2" w:tentative="0">
      <w:start w:val="1"/>
      <w:numFmt w:val="lowerLetter"/>
      <w:lvlText w:val="(%3)"/>
      <w:lvlJc w:val="left"/>
      <w:pPr>
        <w:ind w:left="908" w:hanging="170"/>
      </w:pPr>
      <w:rPr>
        <w:rFonts w:hint="default"/>
      </w:rPr>
    </w:lvl>
    <w:lvl w:ilvl="3" w:tentative="0">
      <w:start w:val="1"/>
      <w:numFmt w:val="lowerRoman"/>
      <w:lvlText w:val="(%4)"/>
      <w:lvlJc w:val="right"/>
      <w:pPr>
        <w:ind w:left="1135" w:hanging="170"/>
      </w:pPr>
      <w:rPr>
        <w:rFonts w:hint="default"/>
      </w:rPr>
    </w:lvl>
    <w:lvl w:ilvl="4" w:tentative="0">
      <w:start w:val="1"/>
      <w:numFmt w:val="decimal"/>
      <w:lvlText w:val="%5)"/>
      <w:lvlJc w:val="left"/>
      <w:pPr>
        <w:ind w:left="1362" w:hanging="170"/>
      </w:pPr>
      <w:rPr>
        <w:rFonts w:hint="default"/>
      </w:rPr>
    </w:lvl>
    <w:lvl w:ilvl="5" w:tentative="0">
      <w:start w:val="1"/>
      <w:numFmt w:val="lowerLetter"/>
      <w:lvlText w:val="%6)"/>
      <w:lvlJc w:val="left"/>
      <w:pPr>
        <w:ind w:left="1589" w:hanging="170"/>
      </w:pPr>
      <w:rPr>
        <w:rFonts w:hint="default"/>
      </w:rPr>
    </w:lvl>
    <w:lvl w:ilvl="6" w:tentative="0">
      <w:start w:val="1"/>
      <w:numFmt w:val="lowerRoman"/>
      <w:lvlText w:val="%7)"/>
      <w:lvlJc w:val="right"/>
      <w:pPr>
        <w:ind w:left="1816" w:hanging="170"/>
      </w:pPr>
      <w:rPr>
        <w:rFonts w:hint="default"/>
      </w:rPr>
    </w:lvl>
    <w:lvl w:ilvl="7" w:tentative="0">
      <w:start w:val="1"/>
      <w:numFmt w:val="lowerLetter"/>
      <w:lvlText w:val="%8."/>
      <w:lvlJc w:val="left"/>
      <w:pPr>
        <w:ind w:left="2043" w:hanging="170"/>
      </w:pPr>
      <w:rPr>
        <w:rFonts w:hint="default"/>
      </w:rPr>
    </w:lvl>
    <w:lvl w:ilvl="8" w:tentative="0">
      <w:start w:val="1"/>
      <w:numFmt w:val="lowerRoman"/>
      <w:lvlText w:val="%9."/>
      <w:lvlJc w:val="right"/>
      <w:pPr>
        <w:ind w:left="2270" w:hanging="170"/>
      </w:pPr>
      <w:rPr>
        <w:rFonts w:hint="default"/>
      </w:rPr>
    </w:lvl>
  </w:abstractNum>
  <w:abstractNum w:abstractNumId="6">
    <w:nsid w:val="50604B5D"/>
    <w:multiLevelType w:val="multilevel"/>
    <w:tmpl w:val="50604B5D"/>
    <w:lvl w:ilvl="0" w:tentative="0">
      <w:start w:val="1"/>
      <w:numFmt w:val="decimal"/>
      <w:pStyle w:val="36"/>
      <w:lvlText w:val="Article %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07368FD"/>
    <w:multiLevelType w:val="multilevel"/>
    <w:tmpl w:val="607368FD"/>
    <w:lvl w:ilvl="0" w:tentative="0">
      <w:start w:val="101"/>
      <w:numFmt w:val="bullet"/>
      <w:pStyle w:val="18"/>
      <w:lvlText w:val="-"/>
      <w:lvlJc w:val="left"/>
      <w:pPr>
        <w:ind w:left="1852" w:hanging="360"/>
      </w:pPr>
      <w:rPr>
        <w:rFonts w:hint="default" w:cs="Times New Roman" w:asciiTheme="minorHAnsi" w:hAnsiTheme="minorHAnsi"/>
        <w:color w:val="232253" w:themeColor="text2"/>
        <w14:textFill>
          <w14:solidFill>
            <w14:schemeClr w14:val="tx2"/>
          </w14:solidFill>
        </w14:textFill>
      </w:rPr>
    </w:lvl>
    <w:lvl w:ilvl="1" w:tentative="0">
      <w:start w:val="1"/>
      <w:numFmt w:val="bullet"/>
      <w:lvlText w:val="o"/>
      <w:lvlJc w:val="left"/>
      <w:pPr>
        <w:ind w:left="2572" w:hanging="360"/>
      </w:pPr>
      <w:rPr>
        <w:rFonts w:hint="default" w:ascii="Courier New" w:hAnsi="Courier New" w:cs="Courier New"/>
      </w:rPr>
    </w:lvl>
    <w:lvl w:ilvl="2" w:tentative="0">
      <w:start w:val="1"/>
      <w:numFmt w:val="bullet"/>
      <w:lvlText w:val=""/>
      <w:lvlJc w:val="left"/>
      <w:pPr>
        <w:ind w:left="3292" w:hanging="360"/>
      </w:pPr>
      <w:rPr>
        <w:rFonts w:hint="default" w:ascii="Wingdings" w:hAnsi="Wingdings"/>
      </w:rPr>
    </w:lvl>
    <w:lvl w:ilvl="3" w:tentative="0">
      <w:start w:val="1"/>
      <w:numFmt w:val="bullet"/>
      <w:lvlText w:val=""/>
      <w:lvlJc w:val="left"/>
      <w:pPr>
        <w:ind w:left="4012" w:hanging="360"/>
      </w:pPr>
      <w:rPr>
        <w:rFonts w:hint="default" w:ascii="Symbol" w:hAnsi="Symbol"/>
      </w:rPr>
    </w:lvl>
    <w:lvl w:ilvl="4" w:tentative="0">
      <w:start w:val="1"/>
      <w:numFmt w:val="bullet"/>
      <w:lvlText w:val="o"/>
      <w:lvlJc w:val="left"/>
      <w:pPr>
        <w:ind w:left="4732" w:hanging="360"/>
      </w:pPr>
      <w:rPr>
        <w:rFonts w:hint="default" w:ascii="Courier New" w:hAnsi="Courier New" w:cs="Courier New"/>
      </w:rPr>
    </w:lvl>
    <w:lvl w:ilvl="5" w:tentative="0">
      <w:start w:val="1"/>
      <w:numFmt w:val="bullet"/>
      <w:lvlText w:val=""/>
      <w:lvlJc w:val="left"/>
      <w:pPr>
        <w:ind w:left="5452" w:hanging="360"/>
      </w:pPr>
      <w:rPr>
        <w:rFonts w:hint="default" w:ascii="Wingdings" w:hAnsi="Wingdings"/>
      </w:rPr>
    </w:lvl>
    <w:lvl w:ilvl="6" w:tentative="0">
      <w:start w:val="1"/>
      <w:numFmt w:val="bullet"/>
      <w:lvlText w:val=""/>
      <w:lvlJc w:val="left"/>
      <w:pPr>
        <w:ind w:left="6172" w:hanging="360"/>
      </w:pPr>
      <w:rPr>
        <w:rFonts w:hint="default" w:ascii="Symbol" w:hAnsi="Symbol"/>
      </w:rPr>
    </w:lvl>
    <w:lvl w:ilvl="7" w:tentative="0">
      <w:start w:val="1"/>
      <w:numFmt w:val="bullet"/>
      <w:lvlText w:val="o"/>
      <w:lvlJc w:val="left"/>
      <w:pPr>
        <w:ind w:left="6892" w:hanging="360"/>
      </w:pPr>
      <w:rPr>
        <w:rFonts w:hint="default" w:ascii="Courier New" w:hAnsi="Courier New" w:cs="Courier New"/>
      </w:rPr>
    </w:lvl>
    <w:lvl w:ilvl="8" w:tentative="0">
      <w:start w:val="1"/>
      <w:numFmt w:val="bullet"/>
      <w:lvlText w:val=""/>
      <w:lvlJc w:val="left"/>
      <w:pPr>
        <w:ind w:left="7612" w:hanging="360"/>
      </w:pPr>
      <w:rPr>
        <w:rFonts w:hint="default" w:ascii="Wingdings" w:hAnsi="Wingdings"/>
      </w:rPr>
    </w:lvl>
  </w:abstractNum>
  <w:abstractNum w:abstractNumId="8">
    <w:nsid w:val="6CAC5430"/>
    <w:multiLevelType w:val="multilevel"/>
    <w:tmpl w:val="6CAC5430"/>
    <w:lvl w:ilvl="0" w:tentative="0">
      <w:start w:val="1"/>
      <w:numFmt w:val="bullet"/>
      <w:pStyle w:val="17"/>
      <w:lvlText w:val=""/>
      <w:lvlJc w:val="left"/>
      <w:pPr>
        <w:ind w:left="1353" w:hanging="360"/>
      </w:pPr>
      <w:rPr>
        <w:rFonts w:hint="default" w:ascii="Wingdings" w:hAnsi="Wingdings"/>
        <w:color w:val="232253" w:themeColor="text2"/>
        <w:sz w:val="16"/>
        <w14:textFill>
          <w14:solidFill>
            <w14:schemeClr w14:val="tx2"/>
          </w14:solidFill>
        </w14:textFill>
      </w:rPr>
    </w:lvl>
    <w:lvl w:ilvl="1" w:tentative="0">
      <w:start w:val="1"/>
      <w:numFmt w:val="bullet"/>
      <w:lvlText w:val="o"/>
      <w:lvlJc w:val="left"/>
      <w:pPr>
        <w:ind w:left="2073" w:hanging="360"/>
      </w:pPr>
      <w:rPr>
        <w:rFonts w:hint="default" w:ascii="Courier New" w:hAnsi="Courier New" w:cs="Courier New"/>
      </w:rPr>
    </w:lvl>
    <w:lvl w:ilvl="2" w:tentative="0">
      <w:start w:val="1"/>
      <w:numFmt w:val="bullet"/>
      <w:lvlText w:val=""/>
      <w:lvlJc w:val="left"/>
      <w:pPr>
        <w:ind w:left="2793" w:hanging="360"/>
      </w:pPr>
      <w:rPr>
        <w:rFonts w:hint="default" w:ascii="Wingdings" w:hAnsi="Wingdings"/>
      </w:rPr>
    </w:lvl>
    <w:lvl w:ilvl="3" w:tentative="0">
      <w:start w:val="1"/>
      <w:numFmt w:val="bullet"/>
      <w:lvlText w:val=""/>
      <w:lvlJc w:val="left"/>
      <w:pPr>
        <w:ind w:left="3513" w:hanging="360"/>
      </w:pPr>
      <w:rPr>
        <w:rFonts w:hint="default" w:ascii="Symbol" w:hAnsi="Symbol"/>
      </w:rPr>
    </w:lvl>
    <w:lvl w:ilvl="4" w:tentative="0">
      <w:start w:val="1"/>
      <w:numFmt w:val="bullet"/>
      <w:lvlText w:val="o"/>
      <w:lvlJc w:val="left"/>
      <w:pPr>
        <w:ind w:left="4233" w:hanging="360"/>
      </w:pPr>
      <w:rPr>
        <w:rFonts w:hint="default" w:ascii="Courier New" w:hAnsi="Courier New" w:cs="Courier New"/>
      </w:rPr>
    </w:lvl>
    <w:lvl w:ilvl="5" w:tentative="0">
      <w:start w:val="1"/>
      <w:numFmt w:val="bullet"/>
      <w:lvlText w:val=""/>
      <w:lvlJc w:val="left"/>
      <w:pPr>
        <w:ind w:left="4953" w:hanging="360"/>
      </w:pPr>
      <w:rPr>
        <w:rFonts w:hint="default" w:ascii="Wingdings" w:hAnsi="Wingdings"/>
      </w:rPr>
    </w:lvl>
    <w:lvl w:ilvl="6" w:tentative="0">
      <w:start w:val="1"/>
      <w:numFmt w:val="bullet"/>
      <w:lvlText w:val=""/>
      <w:lvlJc w:val="left"/>
      <w:pPr>
        <w:ind w:left="5673" w:hanging="360"/>
      </w:pPr>
      <w:rPr>
        <w:rFonts w:hint="default" w:ascii="Symbol" w:hAnsi="Symbol"/>
      </w:rPr>
    </w:lvl>
    <w:lvl w:ilvl="7" w:tentative="0">
      <w:start w:val="1"/>
      <w:numFmt w:val="bullet"/>
      <w:lvlText w:val="o"/>
      <w:lvlJc w:val="left"/>
      <w:pPr>
        <w:ind w:left="6393" w:hanging="360"/>
      </w:pPr>
      <w:rPr>
        <w:rFonts w:hint="default" w:ascii="Courier New" w:hAnsi="Courier New" w:cs="Courier New"/>
      </w:rPr>
    </w:lvl>
    <w:lvl w:ilvl="8" w:tentative="0">
      <w:start w:val="1"/>
      <w:numFmt w:val="bullet"/>
      <w:lvlText w:val=""/>
      <w:lvlJc w:val="left"/>
      <w:pPr>
        <w:ind w:left="7113" w:hanging="360"/>
      </w:pPr>
      <w:rPr>
        <w:rFonts w:hint="default" w:ascii="Wingdings" w:hAnsi="Wingdings"/>
      </w:rPr>
    </w:lvl>
  </w:abstractNum>
  <w:num w:numId="1">
    <w:abstractNumId w:val="1"/>
  </w:num>
  <w:num w:numId="2">
    <w:abstractNumId w:val="8"/>
  </w:num>
  <w:num w:numId="3">
    <w:abstractNumId w:val="7"/>
  </w:num>
  <w:num w:numId="4">
    <w:abstractNumId w:val="3"/>
  </w:num>
  <w:num w:numId="5">
    <w:abstractNumId w:val="5"/>
  </w:num>
  <w:num w:numId="6">
    <w:abstractNumId w:val="2"/>
  </w:num>
  <w:num w:numId="7">
    <w:abstractNumId w:val="6"/>
  </w:num>
  <w:num w:numId="8">
    <w:abstractNumId w:val="4"/>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616"/>
    <w:rsid w:val="000034A0"/>
    <w:rsid w:val="0002063F"/>
    <w:rsid w:val="000260DC"/>
    <w:rsid w:val="00027AFD"/>
    <w:rsid w:val="000340BB"/>
    <w:rsid w:val="000365DC"/>
    <w:rsid w:val="000554E2"/>
    <w:rsid w:val="00055F8C"/>
    <w:rsid w:val="000818B3"/>
    <w:rsid w:val="0009122A"/>
    <w:rsid w:val="00093222"/>
    <w:rsid w:val="00094983"/>
    <w:rsid w:val="000951F8"/>
    <w:rsid w:val="000A2368"/>
    <w:rsid w:val="000B3978"/>
    <w:rsid w:val="000B4E1F"/>
    <w:rsid w:val="000B6B46"/>
    <w:rsid w:val="000C2EA9"/>
    <w:rsid w:val="000C7AD3"/>
    <w:rsid w:val="000D0586"/>
    <w:rsid w:val="000D4E65"/>
    <w:rsid w:val="000E2741"/>
    <w:rsid w:val="000E4868"/>
    <w:rsid w:val="000F0B22"/>
    <w:rsid w:val="000F310C"/>
    <w:rsid w:val="000F4D7E"/>
    <w:rsid w:val="000F7866"/>
    <w:rsid w:val="00106299"/>
    <w:rsid w:val="00111B98"/>
    <w:rsid w:val="00114B97"/>
    <w:rsid w:val="00117EA9"/>
    <w:rsid w:val="001217C3"/>
    <w:rsid w:val="00125502"/>
    <w:rsid w:val="00131C59"/>
    <w:rsid w:val="001357A6"/>
    <w:rsid w:val="00136FCA"/>
    <w:rsid w:val="0014322C"/>
    <w:rsid w:val="00152FF0"/>
    <w:rsid w:val="0015601B"/>
    <w:rsid w:val="00161129"/>
    <w:rsid w:val="00163764"/>
    <w:rsid w:val="00164042"/>
    <w:rsid w:val="001702C1"/>
    <w:rsid w:val="00170382"/>
    <w:rsid w:val="0017559C"/>
    <w:rsid w:val="00177BF0"/>
    <w:rsid w:val="00183847"/>
    <w:rsid w:val="001A3E94"/>
    <w:rsid w:val="001B499D"/>
    <w:rsid w:val="001B58F1"/>
    <w:rsid w:val="001C09F2"/>
    <w:rsid w:val="001C44BE"/>
    <w:rsid w:val="001C6F0C"/>
    <w:rsid w:val="001D3C9F"/>
    <w:rsid w:val="001D610A"/>
    <w:rsid w:val="001E296D"/>
    <w:rsid w:val="001E5E84"/>
    <w:rsid w:val="001F36A6"/>
    <w:rsid w:val="001F691B"/>
    <w:rsid w:val="0020115C"/>
    <w:rsid w:val="00206E9F"/>
    <w:rsid w:val="0020741E"/>
    <w:rsid w:val="0021350A"/>
    <w:rsid w:val="002238D5"/>
    <w:rsid w:val="002240C8"/>
    <w:rsid w:val="00235163"/>
    <w:rsid w:val="002412E7"/>
    <w:rsid w:val="00261A57"/>
    <w:rsid w:val="002625F0"/>
    <w:rsid w:val="0026271F"/>
    <w:rsid w:val="00271015"/>
    <w:rsid w:val="00284ABB"/>
    <w:rsid w:val="0028555C"/>
    <w:rsid w:val="0029441C"/>
    <w:rsid w:val="002A37B0"/>
    <w:rsid w:val="002A6297"/>
    <w:rsid w:val="002B1F21"/>
    <w:rsid w:val="002C71AC"/>
    <w:rsid w:val="002D0AB0"/>
    <w:rsid w:val="002D2CAD"/>
    <w:rsid w:val="002D4C9C"/>
    <w:rsid w:val="002E03E6"/>
    <w:rsid w:val="002E4781"/>
    <w:rsid w:val="002E5DA4"/>
    <w:rsid w:val="002F077C"/>
    <w:rsid w:val="002F0880"/>
    <w:rsid w:val="002F4215"/>
    <w:rsid w:val="002F43D6"/>
    <w:rsid w:val="002F514C"/>
    <w:rsid w:val="003052EB"/>
    <w:rsid w:val="00310E33"/>
    <w:rsid w:val="00320C6C"/>
    <w:rsid w:val="00332005"/>
    <w:rsid w:val="003338E3"/>
    <w:rsid w:val="003412BB"/>
    <w:rsid w:val="00355280"/>
    <w:rsid w:val="00367C43"/>
    <w:rsid w:val="00375E2A"/>
    <w:rsid w:val="0037674B"/>
    <w:rsid w:val="00385DF5"/>
    <w:rsid w:val="00397A0F"/>
    <w:rsid w:val="003A1E6B"/>
    <w:rsid w:val="003B0969"/>
    <w:rsid w:val="003B1132"/>
    <w:rsid w:val="003B1F7C"/>
    <w:rsid w:val="003B2063"/>
    <w:rsid w:val="003E7DDC"/>
    <w:rsid w:val="003F01CD"/>
    <w:rsid w:val="003F1F4A"/>
    <w:rsid w:val="003F29A2"/>
    <w:rsid w:val="003F39CC"/>
    <w:rsid w:val="003F473F"/>
    <w:rsid w:val="00410E9F"/>
    <w:rsid w:val="00417039"/>
    <w:rsid w:val="00440D7B"/>
    <w:rsid w:val="00441B27"/>
    <w:rsid w:val="00442BEA"/>
    <w:rsid w:val="00447F82"/>
    <w:rsid w:val="00457098"/>
    <w:rsid w:val="004603BA"/>
    <w:rsid w:val="0046072B"/>
    <w:rsid w:val="00476D8A"/>
    <w:rsid w:val="004971F2"/>
    <w:rsid w:val="004A158B"/>
    <w:rsid w:val="004A1B81"/>
    <w:rsid w:val="004A6DA9"/>
    <w:rsid w:val="004B39AF"/>
    <w:rsid w:val="004C0954"/>
    <w:rsid w:val="004C24BB"/>
    <w:rsid w:val="004D22A4"/>
    <w:rsid w:val="004D4069"/>
    <w:rsid w:val="004D719B"/>
    <w:rsid w:val="004E2CD9"/>
    <w:rsid w:val="004E6690"/>
    <w:rsid w:val="005024D1"/>
    <w:rsid w:val="00506D77"/>
    <w:rsid w:val="0051541A"/>
    <w:rsid w:val="00520ADE"/>
    <w:rsid w:val="00522A8C"/>
    <w:rsid w:val="00542025"/>
    <w:rsid w:val="00583195"/>
    <w:rsid w:val="00597A44"/>
    <w:rsid w:val="005A550E"/>
    <w:rsid w:val="005B5858"/>
    <w:rsid w:val="005D185B"/>
    <w:rsid w:val="005D1C95"/>
    <w:rsid w:val="005D7616"/>
    <w:rsid w:val="005D789E"/>
    <w:rsid w:val="005D7DFB"/>
    <w:rsid w:val="005E02E2"/>
    <w:rsid w:val="005E6217"/>
    <w:rsid w:val="005F5154"/>
    <w:rsid w:val="00602789"/>
    <w:rsid w:val="00604C65"/>
    <w:rsid w:val="006148EA"/>
    <w:rsid w:val="0062121C"/>
    <w:rsid w:val="00625D24"/>
    <w:rsid w:val="0063168F"/>
    <w:rsid w:val="00635794"/>
    <w:rsid w:val="00637E88"/>
    <w:rsid w:val="0064069D"/>
    <w:rsid w:val="00642401"/>
    <w:rsid w:val="00657A81"/>
    <w:rsid w:val="0066113B"/>
    <w:rsid w:val="006706D0"/>
    <w:rsid w:val="00670DFA"/>
    <w:rsid w:val="00677172"/>
    <w:rsid w:val="006853FE"/>
    <w:rsid w:val="00695F66"/>
    <w:rsid w:val="006A24A2"/>
    <w:rsid w:val="006B3ECA"/>
    <w:rsid w:val="006B7DD0"/>
    <w:rsid w:val="006E31CE"/>
    <w:rsid w:val="006E631B"/>
    <w:rsid w:val="006E7A02"/>
    <w:rsid w:val="006F3324"/>
    <w:rsid w:val="006F5701"/>
    <w:rsid w:val="007011CC"/>
    <w:rsid w:val="00703A1A"/>
    <w:rsid w:val="00710122"/>
    <w:rsid w:val="007117D1"/>
    <w:rsid w:val="00733A89"/>
    <w:rsid w:val="00736BC6"/>
    <w:rsid w:val="00741F9A"/>
    <w:rsid w:val="00755B80"/>
    <w:rsid w:val="0076067A"/>
    <w:rsid w:val="00771A3F"/>
    <w:rsid w:val="00774B01"/>
    <w:rsid w:val="0079138B"/>
    <w:rsid w:val="00794423"/>
    <w:rsid w:val="007A13D2"/>
    <w:rsid w:val="007A2454"/>
    <w:rsid w:val="007A2C95"/>
    <w:rsid w:val="007A5A9B"/>
    <w:rsid w:val="007A66A2"/>
    <w:rsid w:val="007B1298"/>
    <w:rsid w:val="007D1590"/>
    <w:rsid w:val="007D494B"/>
    <w:rsid w:val="007D49DE"/>
    <w:rsid w:val="007D7046"/>
    <w:rsid w:val="007E2A83"/>
    <w:rsid w:val="007E543A"/>
    <w:rsid w:val="007E5FC7"/>
    <w:rsid w:val="007E6BF9"/>
    <w:rsid w:val="00800B27"/>
    <w:rsid w:val="008131FE"/>
    <w:rsid w:val="0081432F"/>
    <w:rsid w:val="008160DE"/>
    <w:rsid w:val="00820704"/>
    <w:rsid w:val="00830277"/>
    <w:rsid w:val="00830FE2"/>
    <w:rsid w:val="008312F9"/>
    <w:rsid w:val="008349E9"/>
    <w:rsid w:val="00834FAF"/>
    <w:rsid w:val="00835857"/>
    <w:rsid w:val="00845393"/>
    <w:rsid w:val="00851DE8"/>
    <w:rsid w:val="008628CA"/>
    <w:rsid w:val="00863B37"/>
    <w:rsid w:val="00870376"/>
    <w:rsid w:val="00880C3A"/>
    <w:rsid w:val="00887262"/>
    <w:rsid w:val="00893D02"/>
    <w:rsid w:val="008940F0"/>
    <w:rsid w:val="0089748F"/>
    <w:rsid w:val="008B7531"/>
    <w:rsid w:val="008C6EBD"/>
    <w:rsid w:val="008D30EC"/>
    <w:rsid w:val="008D5B6F"/>
    <w:rsid w:val="008F7EE5"/>
    <w:rsid w:val="00904850"/>
    <w:rsid w:val="009133AB"/>
    <w:rsid w:val="009162B0"/>
    <w:rsid w:val="00920AAF"/>
    <w:rsid w:val="00941B2B"/>
    <w:rsid w:val="00953020"/>
    <w:rsid w:val="00954728"/>
    <w:rsid w:val="00954BB0"/>
    <w:rsid w:val="00963517"/>
    <w:rsid w:val="009767EB"/>
    <w:rsid w:val="00995078"/>
    <w:rsid w:val="00995757"/>
    <w:rsid w:val="009A219D"/>
    <w:rsid w:val="009A5E96"/>
    <w:rsid w:val="009A76B5"/>
    <w:rsid w:val="009A7A64"/>
    <w:rsid w:val="009B4F8C"/>
    <w:rsid w:val="009B6439"/>
    <w:rsid w:val="009B6A94"/>
    <w:rsid w:val="009C2E2C"/>
    <w:rsid w:val="009D2423"/>
    <w:rsid w:val="009D27F0"/>
    <w:rsid w:val="009F2094"/>
    <w:rsid w:val="009F321E"/>
    <w:rsid w:val="009F4145"/>
    <w:rsid w:val="009F5087"/>
    <w:rsid w:val="009F63FC"/>
    <w:rsid w:val="009F695E"/>
    <w:rsid w:val="00A03107"/>
    <w:rsid w:val="00A03A94"/>
    <w:rsid w:val="00A133B1"/>
    <w:rsid w:val="00A14888"/>
    <w:rsid w:val="00A15243"/>
    <w:rsid w:val="00A175FA"/>
    <w:rsid w:val="00A22D00"/>
    <w:rsid w:val="00A249F5"/>
    <w:rsid w:val="00A265CA"/>
    <w:rsid w:val="00A36C3C"/>
    <w:rsid w:val="00A37685"/>
    <w:rsid w:val="00A43ED8"/>
    <w:rsid w:val="00A54D25"/>
    <w:rsid w:val="00A55B02"/>
    <w:rsid w:val="00A55E05"/>
    <w:rsid w:val="00A92BF8"/>
    <w:rsid w:val="00AA0E58"/>
    <w:rsid w:val="00AB1226"/>
    <w:rsid w:val="00AE2F96"/>
    <w:rsid w:val="00AF6877"/>
    <w:rsid w:val="00B0261C"/>
    <w:rsid w:val="00B04374"/>
    <w:rsid w:val="00B218AE"/>
    <w:rsid w:val="00B2568E"/>
    <w:rsid w:val="00B53DBD"/>
    <w:rsid w:val="00B54E6F"/>
    <w:rsid w:val="00B610DA"/>
    <w:rsid w:val="00B81314"/>
    <w:rsid w:val="00B879AE"/>
    <w:rsid w:val="00B9284F"/>
    <w:rsid w:val="00B94D7A"/>
    <w:rsid w:val="00BA0AB9"/>
    <w:rsid w:val="00BA6038"/>
    <w:rsid w:val="00BA6683"/>
    <w:rsid w:val="00BB0D44"/>
    <w:rsid w:val="00BB3EC0"/>
    <w:rsid w:val="00BB6106"/>
    <w:rsid w:val="00BC25D0"/>
    <w:rsid w:val="00BD65B1"/>
    <w:rsid w:val="00BE0C2B"/>
    <w:rsid w:val="00BE17C5"/>
    <w:rsid w:val="00BF37B0"/>
    <w:rsid w:val="00BF3C77"/>
    <w:rsid w:val="00BF6606"/>
    <w:rsid w:val="00C058DA"/>
    <w:rsid w:val="00C07028"/>
    <w:rsid w:val="00C24377"/>
    <w:rsid w:val="00C27764"/>
    <w:rsid w:val="00C30744"/>
    <w:rsid w:val="00C30EB4"/>
    <w:rsid w:val="00C35C90"/>
    <w:rsid w:val="00C36656"/>
    <w:rsid w:val="00C5622F"/>
    <w:rsid w:val="00C756EC"/>
    <w:rsid w:val="00CB62F0"/>
    <w:rsid w:val="00CB6572"/>
    <w:rsid w:val="00CE549F"/>
    <w:rsid w:val="00CF274C"/>
    <w:rsid w:val="00CF3CBF"/>
    <w:rsid w:val="00CF689B"/>
    <w:rsid w:val="00D02982"/>
    <w:rsid w:val="00D03383"/>
    <w:rsid w:val="00D03EE3"/>
    <w:rsid w:val="00D05B90"/>
    <w:rsid w:val="00D10DBF"/>
    <w:rsid w:val="00D1613D"/>
    <w:rsid w:val="00D3129C"/>
    <w:rsid w:val="00D375A2"/>
    <w:rsid w:val="00D40291"/>
    <w:rsid w:val="00D44FCC"/>
    <w:rsid w:val="00D4666F"/>
    <w:rsid w:val="00D507E9"/>
    <w:rsid w:val="00D52959"/>
    <w:rsid w:val="00D61C6B"/>
    <w:rsid w:val="00D70ABB"/>
    <w:rsid w:val="00D73825"/>
    <w:rsid w:val="00D839C4"/>
    <w:rsid w:val="00D93AA4"/>
    <w:rsid w:val="00DA0517"/>
    <w:rsid w:val="00DA0E4C"/>
    <w:rsid w:val="00DA165E"/>
    <w:rsid w:val="00DA693E"/>
    <w:rsid w:val="00DA6C89"/>
    <w:rsid w:val="00DB547B"/>
    <w:rsid w:val="00DB72C5"/>
    <w:rsid w:val="00DE1985"/>
    <w:rsid w:val="00DE401B"/>
    <w:rsid w:val="00E03CA1"/>
    <w:rsid w:val="00E14985"/>
    <w:rsid w:val="00E1542A"/>
    <w:rsid w:val="00E245C6"/>
    <w:rsid w:val="00E339EB"/>
    <w:rsid w:val="00E3744C"/>
    <w:rsid w:val="00E5100C"/>
    <w:rsid w:val="00E66FFA"/>
    <w:rsid w:val="00E70400"/>
    <w:rsid w:val="00E812B0"/>
    <w:rsid w:val="00E83D82"/>
    <w:rsid w:val="00E83F8C"/>
    <w:rsid w:val="00E857AA"/>
    <w:rsid w:val="00E95451"/>
    <w:rsid w:val="00E954DF"/>
    <w:rsid w:val="00EA7196"/>
    <w:rsid w:val="00EC32C3"/>
    <w:rsid w:val="00ED2CD7"/>
    <w:rsid w:val="00EF28B9"/>
    <w:rsid w:val="00EF2CF8"/>
    <w:rsid w:val="00EF3B46"/>
    <w:rsid w:val="00F0364E"/>
    <w:rsid w:val="00F04685"/>
    <w:rsid w:val="00F0512E"/>
    <w:rsid w:val="00F10FAC"/>
    <w:rsid w:val="00F24A86"/>
    <w:rsid w:val="00F27EB8"/>
    <w:rsid w:val="00F32011"/>
    <w:rsid w:val="00F454D9"/>
    <w:rsid w:val="00F55AA0"/>
    <w:rsid w:val="00F62E65"/>
    <w:rsid w:val="00F636BA"/>
    <w:rsid w:val="00F71E02"/>
    <w:rsid w:val="00F775B3"/>
    <w:rsid w:val="00F810A6"/>
    <w:rsid w:val="00F829B8"/>
    <w:rsid w:val="00F92209"/>
    <w:rsid w:val="00FA603C"/>
    <w:rsid w:val="00FB687D"/>
    <w:rsid w:val="00FE551E"/>
    <w:rsid w:val="00FF2AD3"/>
    <w:rsid w:val="00FF5955"/>
    <w:rsid w:val="09685C2A"/>
    <w:rsid w:val="0AC348A4"/>
    <w:rsid w:val="0CAF7FB1"/>
    <w:rsid w:val="10B4703D"/>
    <w:rsid w:val="12AB3A7F"/>
    <w:rsid w:val="13664CD9"/>
    <w:rsid w:val="14656C76"/>
    <w:rsid w:val="18A1705D"/>
    <w:rsid w:val="18DB3B9B"/>
    <w:rsid w:val="1C4C3AFB"/>
    <w:rsid w:val="272651C2"/>
    <w:rsid w:val="301E5F65"/>
    <w:rsid w:val="30837F11"/>
    <w:rsid w:val="398C2450"/>
    <w:rsid w:val="434279DC"/>
    <w:rsid w:val="47C45FEA"/>
    <w:rsid w:val="549566B8"/>
    <w:rsid w:val="67140181"/>
    <w:rsid w:val="712D7B26"/>
    <w:rsid w:val="7DE82099"/>
    <w:rsid w:val="7F7316BF"/>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6" w:semiHidden="0" w:name="heading 1"/>
    <w:lsdException w:qFormat="1" w:unhideWhenUsed="0" w:uiPriority="6" w:semiHidden="0" w:name="heading 2"/>
    <w:lsdException w:qFormat="1" w:unhideWhenUsed="0" w:uiPriority="6" w:semiHidden="0" w:name="heading 3"/>
    <w:lsdException w:qFormat="1" w:uiPriority="6" w:semiHidden="0" w:name="heading 4"/>
    <w:lsdException w:qFormat="1" w:uiPriority="6" w:semiHidden="0" w:name="heading 5"/>
    <w:lsdException w:qFormat="1" w:uiPriority="6" w:name="heading 6"/>
    <w:lsdException w:qFormat="1" w:uiPriority="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nhideWhenUsed="0" w:uiPriority="17" w:semiHidden="0" w:name="footer"/>
    <w:lsdException w:uiPriority="99" w:name="index heading"/>
    <w:lsdException w:qFormat="1" w:unhideWhenUsed="0" w:uiPriority="25" w:semiHidden="0" w:name="caption"/>
    <w:lsdException w:qFormat="1" w:uiPriority="99" w:semiHidden="0" w:name="table of figures"/>
    <w:lsdException w:uiPriority="99" w:name="envelope address"/>
    <w:lsdException w:uiPriority="99" w:name="envelope return"/>
    <w:lsdException w:qFormat="1" w:unhideWhenUsed="0" w:uiPriority="28"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11" w:semiHidden="0" w:name="List Bullet"/>
    <w:lsdException w:qFormat="1" w:unhideWhenUsed="0" w:uiPriority="13" w:semiHidden="0" w:name="List Number"/>
    <w:lsdException w:uiPriority="99" w:name="List 2"/>
    <w:lsdException w:uiPriority="99" w:name="List 3"/>
    <w:lsdException w:uiPriority="99" w:name="List 4"/>
    <w:lsdException w:uiPriority="99" w:name="List 5"/>
    <w:lsdException w:qFormat="1" w:unhideWhenUsed="0" w:uiPriority="12" w:semiHidden="0" w:name="List Bullet 2"/>
    <w:lsdException w:uiPriority="99" w:name="List Bullet 3"/>
    <w:lsdException w:uiPriority="99" w:name="List Bullet 4"/>
    <w:lsdException w:uiPriority="99" w:name="List Bullet 5"/>
    <w:lsdException w:qFormat="1" w:uiPriority="14" w:semiHidden="0" w:name="List Number 2"/>
    <w:lsdException w:uiPriority="99" w:name="List Number 3"/>
    <w:lsdException w:uiPriority="99" w:name="List Number 4"/>
    <w:lsdException w:uiPriority="99" w:name="List Number 5"/>
    <w:lsdException w:qFormat="1" w:unhideWhenUsed="0" w:uiPriority="4" w:semiHidden="0" w:name="Title"/>
    <w:lsdException w:uiPriority="99" w:name="Closing"/>
    <w:lsdException w:qFormat="1" w:unhideWhenUsed="0" w:uiPriority="5"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5"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39" w:semiHidden="0" w:name="Strong"/>
    <w:lsdException w:qFormat="1" w:unhideWhenUsed="0" w:uiPriority="27"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qFormat="1" w:unhideWhenUsed="0" w:uiPriority="0" w:semiHidden="0" w:name="Table Columns 4"/>
    <w:lsdException w:qFormat="1" w:uiPriority="99" w:name="Balloon Text"/>
    <w:lsdException w:qFormat="1" w:unhideWhenUsed="0" w:uiPriority="59" w:semiHidden="0" w:name="Table Grid"/>
    <w:lsdException w:qFormat="1" w:uiPriority="29" w:semiHidden="0" w:name="No Spacing"/>
    <w:lsdException w:qFormat="1" w:unhideWhenUsed="0" w:uiPriority="60" w:semiHidden="0" w:name="Light Shading"/>
    <w:lsdException w:qFormat="1" w:unhideWhenUsed="0" w:uiPriority="34" w:semiHidden="0" w:name="List Paragraph"/>
    <w:lsdException w:qFormat="1" w:unhideWhenUsed="0" w:uiPriority="29" w:semiHidden="0" w:name="Quote"/>
  </w:latentStyles>
  <w:style w:type="paragraph" w:default="1" w:styleId="1">
    <w:name w:val="Normal"/>
    <w:qFormat/>
    <w:uiPriority w:val="0"/>
    <w:pPr>
      <w:spacing w:before="120" w:after="120" w:line="240" w:lineRule="auto"/>
      <w:jc w:val="both"/>
    </w:pPr>
    <w:rPr>
      <w:rFonts w:ascii="Marianne" w:hAnsi="Marianne" w:eastAsiaTheme="minorHAnsi" w:cstheme="minorBidi"/>
      <w:color w:val="000000" w:themeColor="text1"/>
      <w:sz w:val="22"/>
      <w:szCs w:val="21"/>
      <w:lang w:val="fr-FR" w:eastAsia="en-US" w:bidi="ar-SA"/>
      <w14:textFill>
        <w14:solidFill>
          <w14:schemeClr w14:val="tx1"/>
        </w14:solidFill>
      </w14:textFill>
    </w:rPr>
  </w:style>
  <w:style w:type="paragraph" w:styleId="2">
    <w:name w:val="heading 1"/>
    <w:basedOn w:val="1"/>
    <w:next w:val="1"/>
    <w:link w:val="43"/>
    <w:qFormat/>
    <w:uiPriority w:val="6"/>
    <w:pPr>
      <w:keepNext/>
      <w:keepLines/>
      <w:numPr>
        <w:ilvl w:val="0"/>
        <w:numId w:val="1"/>
      </w:numPr>
      <w:spacing w:before="480" w:after="240"/>
      <w:jc w:val="left"/>
      <w:outlineLvl w:val="0"/>
    </w:pPr>
    <w:rPr>
      <w:rFonts w:eastAsiaTheme="majorEastAsia" w:cstheme="majorHAnsi"/>
      <w:b/>
      <w:bCs/>
      <w:sz w:val="28"/>
      <w:szCs w:val="26"/>
    </w:rPr>
  </w:style>
  <w:style w:type="paragraph" w:styleId="3">
    <w:name w:val="heading 2"/>
    <w:basedOn w:val="1"/>
    <w:next w:val="1"/>
    <w:link w:val="44"/>
    <w:qFormat/>
    <w:uiPriority w:val="6"/>
    <w:pPr>
      <w:keepNext/>
      <w:keepLines/>
      <w:numPr>
        <w:ilvl w:val="1"/>
        <w:numId w:val="1"/>
      </w:numPr>
      <w:spacing w:before="360" w:after="240"/>
      <w:jc w:val="left"/>
      <w:outlineLvl w:val="1"/>
    </w:pPr>
    <w:rPr>
      <w:rFonts w:eastAsiaTheme="majorEastAsia" w:cstheme="majorHAnsi"/>
      <w:b/>
      <w:bCs/>
      <w:color w:val="3891AF" w:themeColor="accent5" w:themeShade="BF"/>
      <w:sz w:val="26"/>
      <w:szCs w:val="26"/>
    </w:rPr>
  </w:style>
  <w:style w:type="paragraph" w:styleId="4">
    <w:name w:val="heading 3"/>
    <w:basedOn w:val="1"/>
    <w:next w:val="1"/>
    <w:link w:val="45"/>
    <w:qFormat/>
    <w:uiPriority w:val="6"/>
    <w:pPr>
      <w:keepNext/>
      <w:keepLines/>
      <w:numPr>
        <w:ilvl w:val="2"/>
        <w:numId w:val="1"/>
      </w:numPr>
      <w:spacing w:before="240" w:after="240"/>
      <w:jc w:val="left"/>
      <w:outlineLvl w:val="2"/>
    </w:pPr>
    <w:rPr>
      <w:rFonts w:eastAsiaTheme="majorEastAsia" w:cstheme="minorHAnsi"/>
      <w:bCs/>
      <w:sz w:val="24"/>
      <w:szCs w:val="26"/>
    </w:rPr>
  </w:style>
  <w:style w:type="paragraph" w:styleId="5">
    <w:name w:val="heading 4"/>
    <w:basedOn w:val="1"/>
    <w:next w:val="1"/>
    <w:link w:val="46"/>
    <w:unhideWhenUsed/>
    <w:qFormat/>
    <w:uiPriority w:val="6"/>
    <w:pPr>
      <w:keepNext/>
      <w:keepLines/>
      <w:numPr>
        <w:ilvl w:val="3"/>
        <w:numId w:val="1"/>
      </w:numPr>
      <w:jc w:val="left"/>
      <w:outlineLvl w:val="3"/>
    </w:pPr>
    <w:rPr>
      <w:rFonts w:eastAsiaTheme="majorEastAsia" w:cstheme="minorHAnsi"/>
      <w:b/>
      <w:bCs/>
      <w:iCs/>
      <w:color w:val="92D050"/>
    </w:rPr>
  </w:style>
  <w:style w:type="paragraph" w:styleId="6">
    <w:name w:val="heading 5"/>
    <w:basedOn w:val="1"/>
    <w:next w:val="1"/>
    <w:link w:val="55"/>
    <w:unhideWhenUsed/>
    <w:qFormat/>
    <w:uiPriority w:val="6"/>
    <w:pPr>
      <w:keepNext/>
      <w:keepLines/>
      <w:spacing w:before="200" w:after="0"/>
      <w:outlineLvl w:val="4"/>
    </w:pPr>
    <w:rPr>
      <w:rFonts w:eastAsia="Times New Roman" w:cs="Times New Roman"/>
      <w:b/>
      <w:color w:val="auto"/>
      <w:szCs w:val="24"/>
      <w:lang w:eastAsia="fr-FR"/>
    </w:rPr>
  </w:style>
  <w:style w:type="paragraph" w:styleId="7">
    <w:name w:val="heading 6"/>
    <w:basedOn w:val="1"/>
    <w:next w:val="1"/>
    <w:link w:val="56"/>
    <w:semiHidden/>
    <w:unhideWhenUsed/>
    <w:qFormat/>
    <w:uiPriority w:val="6"/>
    <w:pPr>
      <w:keepNext/>
      <w:keepLines/>
      <w:spacing w:before="200" w:after="0"/>
      <w:outlineLvl w:val="5"/>
    </w:pPr>
    <w:rPr>
      <w:rFonts w:eastAsia="Times New Roman" w:cs="Times New Roman"/>
      <w:i/>
      <w:iCs/>
      <w:color w:val="275277"/>
      <w:szCs w:val="24"/>
      <w:lang w:eastAsia="fr-FR"/>
    </w:rPr>
  </w:style>
  <w:style w:type="paragraph" w:styleId="8">
    <w:name w:val="heading 7"/>
    <w:basedOn w:val="1"/>
    <w:next w:val="1"/>
    <w:link w:val="47"/>
    <w:semiHidden/>
    <w:unhideWhenUsed/>
    <w:qFormat/>
    <w:uiPriority w:val="0"/>
    <w:pPr>
      <w:keepNext/>
      <w:keepLines/>
      <w:numPr>
        <w:ilvl w:val="6"/>
        <w:numId w:val="1"/>
      </w:numPr>
      <w:spacing w:before="200" w:after="0"/>
      <w:outlineLvl w:val="6"/>
    </w:pPr>
    <w:rPr>
      <w:rFonts w:ascii="Times New Roman" w:hAnsi="Times New Roman" w:eastAsia="Times New Roman" w:cs="Times New Roman"/>
      <w:i/>
      <w:iCs/>
      <w:color w:val="404040"/>
      <w:sz w:val="24"/>
      <w:szCs w:val="24"/>
      <w:lang w:eastAsia="fr-FR"/>
    </w:rPr>
  </w:style>
  <w:style w:type="paragraph" w:styleId="9">
    <w:name w:val="heading 8"/>
    <w:basedOn w:val="1"/>
    <w:next w:val="1"/>
    <w:link w:val="48"/>
    <w:semiHidden/>
    <w:unhideWhenUsed/>
    <w:qFormat/>
    <w:uiPriority w:val="9"/>
    <w:pPr>
      <w:keepNext/>
      <w:keepLines/>
      <w:numPr>
        <w:ilvl w:val="7"/>
        <w:numId w:val="1"/>
      </w:numPr>
      <w:spacing w:before="200" w:after="0"/>
      <w:outlineLvl w:val="7"/>
    </w:pPr>
    <w:rPr>
      <w:rFonts w:asciiTheme="majorHAnsi" w:hAnsiTheme="majorHAnsi" w:eastAsiaTheme="majorEastAsia" w:cstheme="majorBidi"/>
      <w:color w:val="404040" w:themeColor="text1" w:themeTint="BF"/>
      <w:szCs w:val="20"/>
      <w14:textFill>
        <w14:solidFill>
          <w14:schemeClr w14:val="tx1">
            <w14:lumMod w14:val="75000"/>
            <w14:lumOff w14:val="25000"/>
          </w14:schemeClr>
        </w14:solidFill>
      </w14:textFill>
    </w:rPr>
  </w:style>
  <w:style w:type="paragraph" w:styleId="10">
    <w:name w:val="heading 9"/>
    <w:basedOn w:val="1"/>
    <w:next w:val="1"/>
    <w:link w:val="49"/>
    <w:semiHidden/>
    <w:unhideWhenUsed/>
    <w:qFormat/>
    <w:uiPriority w:val="9"/>
    <w:pPr>
      <w:keepNext/>
      <w:keepLines/>
      <w:numPr>
        <w:ilvl w:val="8"/>
        <w:numId w:val="1"/>
      </w:numPr>
      <w:spacing w:before="200" w:after="0"/>
      <w:outlineLvl w:val="8"/>
    </w:pPr>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default="1" w:styleId="11">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character" w:styleId="12">
    <w:name w:val="Hyperlink"/>
    <w:basedOn w:val="11"/>
    <w:unhideWhenUsed/>
    <w:qFormat/>
    <w:uiPriority w:val="99"/>
    <w:rPr>
      <w:color w:val="084E8E" w:themeColor="accent1"/>
      <w:u w:val="single"/>
      <w14:textFill>
        <w14:solidFill>
          <w14:schemeClr w14:val="accent1"/>
        </w14:solidFill>
      </w14:textFill>
    </w:rPr>
  </w:style>
  <w:style w:type="character" w:styleId="13">
    <w:name w:val="footnote reference"/>
    <w:basedOn w:val="11"/>
    <w:qFormat/>
    <w:uiPriority w:val="28"/>
    <w:rPr>
      <w:vertAlign w:val="superscript"/>
    </w:rPr>
  </w:style>
  <w:style w:type="character" w:styleId="14">
    <w:name w:val="annotation reference"/>
    <w:basedOn w:val="11"/>
    <w:semiHidden/>
    <w:unhideWhenUsed/>
    <w:qFormat/>
    <w:uiPriority w:val="99"/>
    <w:rPr>
      <w:sz w:val="16"/>
      <w:szCs w:val="16"/>
    </w:rPr>
  </w:style>
  <w:style w:type="character" w:styleId="15">
    <w:name w:val="Emphasis"/>
    <w:basedOn w:val="11"/>
    <w:qFormat/>
    <w:uiPriority w:val="27"/>
    <w:rPr>
      <w:b/>
      <w:iCs/>
    </w:rPr>
  </w:style>
  <w:style w:type="paragraph" w:styleId="16">
    <w:name w:val="Subtitle"/>
    <w:basedOn w:val="1"/>
    <w:next w:val="1"/>
    <w:link w:val="78"/>
    <w:qFormat/>
    <w:uiPriority w:val="5"/>
    <w:pPr>
      <w:spacing w:before="240" w:after="840"/>
      <w:jc w:val="center"/>
    </w:pPr>
    <w:rPr>
      <w:rFonts w:eastAsiaTheme="majorEastAsia" w:cstheme="majorBidi"/>
      <w:b/>
      <w:iCs/>
      <w:color w:val="3891AF" w:themeColor="accent5" w:themeShade="BF"/>
      <w:spacing w:val="15"/>
      <w:sz w:val="24"/>
      <w:szCs w:val="24"/>
    </w:rPr>
  </w:style>
  <w:style w:type="paragraph" w:styleId="17">
    <w:name w:val="List Bullet 2"/>
    <w:basedOn w:val="18"/>
    <w:qFormat/>
    <w:uiPriority w:val="12"/>
    <w:pPr>
      <w:numPr>
        <w:ilvl w:val="0"/>
        <w:numId w:val="2"/>
      </w:numPr>
      <w:ind w:left="851" w:hanging="284"/>
    </w:pPr>
    <w:rPr>
      <w:rFonts w:eastAsia="Times New Roman" w:cs="Arial"/>
      <w:color w:val="auto"/>
      <w:szCs w:val="18"/>
      <w:lang w:eastAsia="fr-FR"/>
    </w:rPr>
  </w:style>
  <w:style w:type="paragraph" w:styleId="18">
    <w:name w:val="List Paragraph"/>
    <w:basedOn w:val="1"/>
    <w:link w:val="86"/>
    <w:qFormat/>
    <w:uiPriority w:val="34"/>
    <w:pPr>
      <w:numPr>
        <w:ilvl w:val="0"/>
        <w:numId w:val="3"/>
      </w:numPr>
      <w:spacing w:before="60" w:after="60"/>
    </w:pPr>
  </w:style>
  <w:style w:type="paragraph" w:styleId="19">
    <w:name w:val="footnote text"/>
    <w:basedOn w:val="1"/>
    <w:link w:val="50"/>
    <w:semiHidden/>
    <w:qFormat/>
    <w:uiPriority w:val="0"/>
    <w:pPr>
      <w:spacing w:before="60" w:after="60"/>
    </w:pPr>
    <w:rPr>
      <w:rFonts w:eastAsia="Times New Roman" w:cs="Times New Roman"/>
      <w:color w:val="auto"/>
      <w:sz w:val="18"/>
      <w:szCs w:val="20"/>
      <w:lang w:eastAsia="fr-FR"/>
    </w:rPr>
  </w:style>
  <w:style w:type="paragraph" w:styleId="20">
    <w:name w:val="annotation subject"/>
    <w:basedOn w:val="21"/>
    <w:next w:val="21"/>
    <w:link w:val="84"/>
    <w:semiHidden/>
    <w:unhideWhenUsed/>
    <w:qFormat/>
    <w:uiPriority w:val="99"/>
    <w:rPr>
      <w:b/>
      <w:bCs/>
    </w:rPr>
  </w:style>
  <w:style w:type="paragraph" w:styleId="21">
    <w:name w:val="annotation text"/>
    <w:basedOn w:val="1"/>
    <w:link w:val="83"/>
    <w:unhideWhenUsed/>
    <w:qFormat/>
    <w:uiPriority w:val="99"/>
    <w:rPr>
      <w:sz w:val="20"/>
      <w:szCs w:val="20"/>
    </w:rPr>
  </w:style>
  <w:style w:type="paragraph" w:styleId="22">
    <w:name w:val="caption"/>
    <w:basedOn w:val="1"/>
    <w:next w:val="1"/>
    <w:qFormat/>
    <w:uiPriority w:val="25"/>
    <w:pPr>
      <w:spacing w:before="60"/>
      <w:jc w:val="center"/>
    </w:pPr>
    <w:rPr>
      <w:rFonts w:cstheme="minorHAnsi"/>
      <w:b/>
      <w:bCs/>
      <w:color w:val="92D050"/>
      <w:sz w:val="16"/>
      <w:szCs w:val="18"/>
    </w:rPr>
  </w:style>
  <w:style w:type="paragraph" w:styleId="23">
    <w:name w:val="List Number"/>
    <w:basedOn w:val="18"/>
    <w:qFormat/>
    <w:uiPriority w:val="13"/>
    <w:pPr>
      <w:numPr>
        <w:ilvl w:val="0"/>
        <w:numId w:val="4"/>
      </w:numPr>
    </w:pPr>
  </w:style>
  <w:style w:type="paragraph" w:styleId="24">
    <w:name w:val="Balloon Text"/>
    <w:basedOn w:val="1"/>
    <w:link w:val="60"/>
    <w:semiHidden/>
    <w:unhideWhenUsed/>
    <w:qFormat/>
    <w:uiPriority w:val="99"/>
    <w:pPr>
      <w:spacing w:before="0" w:after="0"/>
    </w:pPr>
    <w:rPr>
      <w:rFonts w:ascii="Tahoma" w:hAnsi="Tahoma" w:cs="Tahoma"/>
      <w:sz w:val="16"/>
      <w:szCs w:val="16"/>
    </w:rPr>
  </w:style>
  <w:style w:type="paragraph" w:styleId="25">
    <w:name w:val="toc 3"/>
    <w:basedOn w:val="1"/>
    <w:next w:val="1"/>
    <w:autoRedefine/>
    <w:unhideWhenUsed/>
    <w:qFormat/>
    <w:uiPriority w:val="39"/>
    <w:pPr>
      <w:spacing w:after="100"/>
      <w:ind w:left="440"/>
    </w:pPr>
  </w:style>
  <w:style w:type="paragraph" w:styleId="26">
    <w:name w:val="footer"/>
    <w:basedOn w:val="1"/>
    <w:link w:val="51"/>
    <w:qFormat/>
    <w:uiPriority w:val="17"/>
    <w:pPr>
      <w:tabs>
        <w:tab w:val="right" w:pos="9639"/>
      </w:tabs>
      <w:spacing w:after="0" w:line="240" w:lineRule="auto"/>
    </w:pPr>
    <w:rPr>
      <w:rFonts w:ascii="Marianne" w:hAnsi="Marianne" w:eastAsiaTheme="minorHAnsi" w:cstheme="minorBidi"/>
      <w:color w:val="000000" w:themeColor="text1"/>
      <w:sz w:val="18"/>
      <w:szCs w:val="22"/>
      <w:lang w:val="fr-FR" w:eastAsia="en-US" w:bidi="ar-SA"/>
      <w14:textFill>
        <w14:solidFill>
          <w14:schemeClr w14:val="tx1"/>
        </w14:solidFill>
      </w14:textFill>
    </w:rPr>
  </w:style>
  <w:style w:type="paragraph" w:styleId="27">
    <w:name w:val="header"/>
    <w:link w:val="57"/>
    <w:unhideWhenUsed/>
    <w:qFormat/>
    <w:uiPriority w:val="99"/>
    <w:pPr>
      <w:tabs>
        <w:tab w:val="center" w:pos="4513"/>
        <w:tab w:val="right" w:pos="9026"/>
      </w:tabs>
      <w:spacing w:after="0" w:line="240" w:lineRule="auto"/>
      <w:jc w:val="right"/>
    </w:pPr>
    <w:rPr>
      <w:rFonts w:asciiTheme="minorHAnsi" w:hAnsiTheme="minorHAnsi" w:eastAsiaTheme="minorHAnsi" w:cstheme="minorBidi"/>
      <w:caps/>
      <w:color w:val="000000" w:themeColor="text1"/>
      <w:sz w:val="18"/>
      <w:szCs w:val="22"/>
      <w:lang w:val="fr-FR" w:eastAsia="en-US" w:bidi="ar-SA"/>
      <w14:textFill>
        <w14:solidFill>
          <w14:schemeClr w14:val="tx1"/>
        </w14:solidFill>
      </w14:textFill>
    </w:rPr>
  </w:style>
  <w:style w:type="paragraph" w:styleId="28">
    <w:name w:val="List Number 2"/>
    <w:basedOn w:val="18"/>
    <w:unhideWhenUsed/>
    <w:qFormat/>
    <w:uiPriority w:val="14"/>
    <w:pPr>
      <w:numPr>
        <w:ilvl w:val="1"/>
        <w:numId w:val="5"/>
      </w:numPr>
    </w:pPr>
  </w:style>
  <w:style w:type="paragraph" w:styleId="29">
    <w:name w:val="toc 2"/>
    <w:basedOn w:val="1"/>
    <w:next w:val="1"/>
    <w:autoRedefine/>
    <w:unhideWhenUsed/>
    <w:qFormat/>
    <w:uiPriority w:val="39"/>
    <w:pPr>
      <w:spacing w:after="100"/>
      <w:ind w:left="220"/>
    </w:pPr>
  </w:style>
  <w:style w:type="paragraph" w:styleId="30">
    <w:name w:val="Signature"/>
    <w:basedOn w:val="1"/>
    <w:next w:val="1"/>
    <w:link w:val="59"/>
    <w:semiHidden/>
    <w:qFormat/>
    <w:uiPriority w:val="5"/>
    <w:pPr>
      <w:spacing w:before="840"/>
      <w:ind w:left="5670"/>
    </w:pPr>
  </w:style>
  <w:style w:type="paragraph" w:styleId="31">
    <w:name w:val="List Bullet"/>
    <w:basedOn w:val="18"/>
    <w:qFormat/>
    <w:uiPriority w:val="11"/>
    <w:pPr>
      <w:numPr>
        <w:ilvl w:val="0"/>
        <w:numId w:val="6"/>
      </w:numPr>
      <w:ind w:left="567" w:hanging="283"/>
    </w:pPr>
    <w:rPr>
      <w:rFonts w:eastAsia="Times New Roman" w:cs="Arial"/>
      <w:color w:val="auto"/>
      <w:szCs w:val="18"/>
      <w:lang w:eastAsia="fr-FR"/>
    </w:rPr>
  </w:style>
  <w:style w:type="paragraph" w:styleId="32">
    <w:name w:val="table of figures"/>
    <w:basedOn w:val="1"/>
    <w:next w:val="1"/>
    <w:unhideWhenUsed/>
    <w:qFormat/>
    <w:uiPriority w:val="99"/>
    <w:pPr>
      <w:spacing w:after="0"/>
    </w:pPr>
  </w:style>
  <w:style w:type="paragraph" w:styleId="33">
    <w:name w:val="Title"/>
    <w:basedOn w:val="1"/>
    <w:next w:val="1"/>
    <w:link w:val="52"/>
    <w:qFormat/>
    <w:uiPriority w:val="4"/>
    <w:pPr>
      <w:spacing w:before="240" w:after="240"/>
      <w:contextualSpacing/>
      <w:jc w:val="center"/>
    </w:pPr>
    <w:rPr>
      <w:rFonts w:eastAsiaTheme="majorEastAsia" w:cstheme="majorHAnsi"/>
      <w:b/>
      <w:color w:val="auto"/>
      <w:kern w:val="28"/>
      <w:sz w:val="28"/>
      <w:szCs w:val="30"/>
    </w:rPr>
  </w:style>
  <w:style w:type="paragraph" w:styleId="34">
    <w:name w:val="toc 1"/>
    <w:basedOn w:val="1"/>
    <w:next w:val="1"/>
    <w:autoRedefine/>
    <w:unhideWhenUsed/>
    <w:qFormat/>
    <w:uiPriority w:val="39"/>
    <w:pPr>
      <w:spacing w:after="100"/>
    </w:pPr>
  </w:style>
  <w:style w:type="paragraph" w:customStyle="1" w:styleId="36">
    <w:name w:val="Article"/>
    <w:basedOn w:val="1"/>
    <w:link w:val="37"/>
    <w:semiHidden/>
    <w:qFormat/>
    <w:uiPriority w:val="1"/>
    <w:pPr>
      <w:keepLines/>
      <w:numPr>
        <w:ilvl w:val="0"/>
        <w:numId w:val="7"/>
      </w:numPr>
      <w:tabs>
        <w:tab w:val="left" w:pos="360"/>
      </w:tabs>
      <w:ind w:left="1134" w:hanging="1134"/>
    </w:pPr>
    <w:rPr>
      <w:rFonts w:eastAsia="Times New Roman" w:cs="Times New Roman"/>
      <w:color w:val="auto"/>
      <w:szCs w:val="24"/>
      <w:lang w:eastAsia="fr-FR"/>
    </w:rPr>
  </w:style>
  <w:style w:type="character" w:customStyle="1" w:styleId="37">
    <w:name w:val="Article Car"/>
    <w:link w:val="36"/>
    <w:semiHidden/>
    <w:qFormat/>
    <w:uiPriority w:val="1"/>
    <w:rPr>
      <w:rFonts w:ascii="Marianne" w:hAnsi="Marianne" w:eastAsia="Times New Roman" w:cs="Times New Roman"/>
      <w:szCs w:val="24"/>
      <w:lang w:eastAsia="fr-FR"/>
    </w:rPr>
  </w:style>
  <w:style w:type="paragraph" w:customStyle="1" w:styleId="38">
    <w:name w:val="Titr tableau"/>
    <w:basedOn w:val="39"/>
    <w:link w:val="42"/>
    <w:qFormat/>
    <w:uiPriority w:val="22"/>
    <w:pPr>
      <w:keepNext/>
      <w:jc w:val="center"/>
    </w:pPr>
    <w:rPr>
      <w:rFonts w:ascii="Marianne" w:hAnsi="Marianne" w:eastAsia="Times New Roman" w:cs="Times New Roman"/>
      <w:b/>
      <w:color w:val="3891AF" w:themeColor="accent5" w:themeShade="BF"/>
      <w:szCs w:val="20"/>
      <w:lang w:eastAsia="fr-FR"/>
    </w:rPr>
  </w:style>
  <w:style w:type="paragraph" w:styleId="39">
    <w:name w:val="No Spacing"/>
    <w:link w:val="41"/>
    <w:unhideWhenUsed/>
    <w:qFormat/>
    <w:uiPriority w:val="29"/>
    <w:pPr>
      <w:spacing w:after="0" w:line="240" w:lineRule="auto"/>
      <w:jc w:val="both"/>
    </w:pPr>
    <w:rPr>
      <w:rFonts w:asciiTheme="minorHAnsi" w:hAnsiTheme="minorHAnsi" w:eastAsiaTheme="minorHAnsi" w:cstheme="minorBidi"/>
      <w:color w:val="000000" w:themeColor="text1"/>
      <w:sz w:val="20"/>
      <w:szCs w:val="22"/>
      <w:lang w:val="fr-FR" w:eastAsia="en-US" w:bidi="ar-SA"/>
      <w14:textFill>
        <w14:solidFill>
          <w14:schemeClr w14:val="tx1"/>
        </w14:solidFill>
      </w14:textFill>
    </w:rPr>
  </w:style>
  <w:style w:type="paragraph" w:customStyle="1" w:styleId="40">
    <w:name w:val="Tableau"/>
    <w:basedOn w:val="38"/>
    <w:link w:val="62"/>
    <w:autoRedefine/>
    <w:qFormat/>
    <w:uiPriority w:val="22"/>
    <w:rPr>
      <w:color w:val="000000" w:themeColor="text1"/>
      <w14:textFill>
        <w14:solidFill>
          <w14:schemeClr w14:val="tx1"/>
        </w14:solidFill>
      </w14:textFill>
    </w:rPr>
  </w:style>
  <w:style w:type="character" w:customStyle="1" w:styleId="41">
    <w:name w:val="Sans interligne Car"/>
    <w:basedOn w:val="11"/>
    <w:link w:val="39"/>
    <w:qFormat/>
    <w:uiPriority w:val="29"/>
    <w:rPr>
      <w:color w:val="000000" w:themeColor="text1"/>
      <w:sz w:val="20"/>
      <w14:textFill>
        <w14:solidFill>
          <w14:schemeClr w14:val="tx1"/>
        </w14:solidFill>
      </w14:textFill>
    </w:rPr>
  </w:style>
  <w:style w:type="character" w:customStyle="1" w:styleId="42">
    <w:name w:val="Titr tableau Car"/>
    <w:basedOn w:val="41"/>
    <w:link w:val="38"/>
    <w:qFormat/>
    <w:uiPriority w:val="22"/>
    <w:rPr>
      <w:rFonts w:ascii="Marianne" w:hAnsi="Marianne" w:eastAsia="Times New Roman" w:cs="Times New Roman"/>
      <w:b/>
      <w:color w:val="3891AF" w:themeColor="accent5" w:themeShade="BF"/>
      <w:sz w:val="20"/>
      <w:szCs w:val="20"/>
      <w:lang w:eastAsia="fr-FR"/>
    </w:rPr>
  </w:style>
  <w:style w:type="character" w:customStyle="1" w:styleId="43">
    <w:name w:val="Titre 1 Car"/>
    <w:basedOn w:val="11"/>
    <w:link w:val="2"/>
    <w:qFormat/>
    <w:uiPriority w:val="6"/>
    <w:rPr>
      <w:rFonts w:ascii="Marianne" w:hAnsi="Marianne" w:eastAsiaTheme="majorEastAsia" w:cstheme="majorHAnsi"/>
      <w:b/>
      <w:bCs/>
      <w:color w:val="000000" w:themeColor="text1"/>
      <w:sz w:val="28"/>
      <w:szCs w:val="26"/>
      <w14:textFill>
        <w14:solidFill>
          <w14:schemeClr w14:val="tx1"/>
        </w14:solidFill>
      </w14:textFill>
    </w:rPr>
  </w:style>
  <w:style w:type="character" w:customStyle="1" w:styleId="44">
    <w:name w:val="Titre 2 Car"/>
    <w:basedOn w:val="11"/>
    <w:link w:val="3"/>
    <w:qFormat/>
    <w:uiPriority w:val="6"/>
    <w:rPr>
      <w:rFonts w:ascii="Marianne" w:hAnsi="Marianne" w:eastAsiaTheme="majorEastAsia" w:cstheme="majorHAnsi"/>
      <w:b/>
      <w:bCs/>
      <w:color w:val="3891AF" w:themeColor="accent5" w:themeShade="BF"/>
      <w:sz w:val="26"/>
      <w:szCs w:val="26"/>
    </w:rPr>
  </w:style>
  <w:style w:type="character" w:customStyle="1" w:styleId="45">
    <w:name w:val="Titre 3 Car"/>
    <w:basedOn w:val="11"/>
    <w:link w:val="4"/>
    <w:qFormat/>
    <w:uiPriority w:val="6"/>
    <w:rPr>
      <w:rFonts w:ascii="Marianne" w:hAnsi="Marianne" w:eastAsiaTheme="majorEastAsia" w:cstheme="minorHAnsi"/>
      <w:bCs/>
      <w:color w:val="000000" w:themeColor="text1"/>
      <w:sz w:val="24"/>
      <w:szCs w:val="26"/>
      <w14:textFill>
        <w14:solidFill>
          <w14:schemeClr w14:val="tx1"/>
        </w14:solidFill>
      </w14:textFill>
    </w:rPr>
  </w:style>
  <w:style w:type="character" w:customStyle="1" w:styleId="46">
    <w:name w:val="Titre 4 Car"/>
    <w:basedOn w:val="11"/>
    <w:link w:val="5"/>
    <w:qFormat/>
    <w:uiPriority w:val="6"/>
    <w:rPr>
      <w:rFonts w:ascii="Marianne" w:hAnsi="Marianne" w:eastAsiaTheme="majorEastAsia" w:cstheme="minorHAnsi"/>
      <w:b/>
      <w:bCs/>
      <w:iCs/>
      <w:color w:val="92D050"/>
      <w:szCs w:val="21"/>
    </w:rPr>
  </w:style>
  <w:style w:type="character" w:customStyle="1" w:styleId="47">
    <w:name w:val="Titre 7 Car"/>
    <w:basedOn w:val="11"/>
    <w:link w:val="8"/>
    <w:semiHidden/>
    <w:qFormat/>
    <w:uiPriority w:val="0"/>
    <w:rPr>
      <w:rFonts w:ascii="Times New Roman" w:hAnsi="Times New Roman" w:eastAsia="Times New Roman" w:cs="Times New Roman"/>
      <w:i/>
      <w:iCs/>
      <w:color w:val="404040"/>
      <w:sz w:val="24"/>
      <w:szCs w:val="24"/>
      <w:lang w:eastAsia="fr-FR"/>
    </w:rPr>
  </w:style>
  <w:style w:type="character" w:customStyle="1" w:styleId="48">
    <w:name w:val="Titre 8 Car"/>
    <w:basedOn w:val="11"/>
    <w:link w:val="9"/>
    <w:semiHidden/>
    <w:qFormat/>
    <w:uiPriority w:val="9"/>
    <w:rPr>
      <w:rFonts w:asciiTheme="majorHAnsi" w:hAnsiTheme="majorHAnsi" w:eastAsiaTheme="majorEastAsia" w:cstheme="majorBidi"/>
      <w:color w:val="404040" w:themeColor="text1" w:themeTint="BF"/>
      <w:szCs w:val="20"/>
      <w14:textFill>
        <w14:solidFill>
          <w14:schemeClr w14:val="tx1">
            <w14:lumMod w14:val="75000"/>
            <w14:lumOff w14:val="25000"/>
          </w14:schemeClr>
        </w14:solidFill>
      </w14:textFill>
    </w:rPr>
  </w:style>
  <w:style w:type="character" w:customStyle="1" w:styleId="49">
    <w:name w:val="Titre 9 Car"/>
    <w:basedOn w:val="11"/>
    <w:link w:val="10"/>
    <w:semiHidden/>
    <w:qFormat/>
    <w:uiPriority w:val="9"/>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customStyle="1" w:styleId="50">
    <w:name w:val="Note de bas de page Car"/>
    <w:basedOn w:val="11"/>
    <w:link w:val="19"/>
    <w:semiHidden/>
    <w:qFormat/>
    <w:uiPriority w:val="0"/>
    <w:rPr>
      <w:rFonts w:eastAsia="Times New Roman" w:cs="Times New Roman"/>
      <w:sz w:val="18"/>
      <w:szCs w:val="20"/>
      <w:lang w:eastAsia="fr-FR"/>
    </w:rPr>
  </w:style>
  <w:style w:type="character" w:customStyle="1" w:styleId="51">
    <w:name w:val="Pied de page Car"/>
    <w:basedOn w:val="11"/>
    <w:link w:val="26"/>
    <w:qFormat/>
    <w:uiPriority w:val="17"/>
    <w:rPr>
      <w:rFonts w:ascii="Marianne" w:hAnsi="Marianne"/>
      <w:color w:val="000000" w:themeColor="text1"/>
      <w:sz w:val="18"/>
      <w14:textFill>
        <w14:solidFill>
          <w14:schemeClr w14:val="tx1"/>
        </w14:solidFill>
      </w14:textFill>
    </w:rPr>
  </w:style>
  <w:style w:type="character" w:customStyle="1" w:styleId="52">
    <w:name w:val="Titre Car"/>
    <w:basedOn w:val="11"/>
    <w:link w:val="33"/>
    <w:qFormat/>
    <w:uiPriority w:val="4"/>
    <w:rPr>
      <w:rFonts w:ascii="Marianne" w:hAnsi="Marianne" w:eastAsiaTheme="majorEastAsia" w:cstheme="majorHAnsi"/>
      <w:b/>
      <w:kern w:val="28"/>
      <w:sz w:val="28"/>
      <w:szCs w:val="30"/>
    </w:rPr>
  </w:style>
  <w:style w:type="paragraph" w:styleId="53">
    <w:name w:val="Quote"/>
    <w:basedOn w:val="1"/>
    <w:next w:val="1"/>
    <w:link w:val="54"/>
    <w:qFormat/>
    <w:uiPriority w:val="29"/>
    <w:pPr>
      <w:ind w:left="284"/>
    </w:pPr>
    <w:rPr>
      <w:i/>
      <w:iCs/>
    </w:rPr>
  </w:style>
  <w:style w:type="character" w:customStyle="1" w:styleId="54">
    <w:name w:val="Citation Car"/>
    <w:basedOn w:val="11"/>
    <w:link w:val="53"/>
    <w:qFormat/>
    <w:uiPriority w:val="29"/>
    <w:rPr>
      <w:i/>
      <w:iCs/>
      <w:color w:val="000000"/>
      <w:szCs w:val="21"/>
    </w:rPr>
  </w:style>
  <w:style w:type="character" w:customStyle="1" w:styleId="55">
    <w:name w:val="Titre 5 Car"/>
    <w:basedOn w:val="11"/>
    <w:link w:val="6"/>
    <w:qFormat/>
    <w:uiPriority w:val="6"/>
    <w:rPr>
      <w:rFonts w:eastAsia="Times New Roman" w:cs="Times New Roman"/>
      <w:b/>
      <w:szCs w:val="24"/>
      <w:lang w:eastAsia="fr-FR"/>
    </w:rPr>
  </w:style>
  <w:style w:type="character" w:customStyle="1" w:styleId="56">
    <w:name w:val="Titre 6 Car"/>
    <w:basedOn w:val="11"/>
    <w:link w:val="7"/>
    <w:semiHidden/>
    <w:qFormat/>
    <w:uiPriority w:val="6"/>
    <w:rPr>
      <w:rFonts w:eastAsia="Times New Roman" w:cs="Times New Roman"/>
      <w:i/>
      <w:iCs/>
      <w:color w:val="275277"/>
      <w:szCs w:val="24"/>
      <w:lang w:eastAsia="fr-FR"/>
    </w:rPr>
  </w:style>
  <w:style w:type="character" w:customStyle="1" w:styleId="57">
    <w:name w:val="En-tête Car"/>
    <w:basedOn w:val="11"/>
    <w:link w:val="27"/>
    <w:qFormat/>
    <w:uiPriority w:val="99"/>
    <w:rPr>
      <w:caps/>
      <w:color w:val="000000" w:themeColor="text1"/>
      <w:sz w:val="18"/>
      <w14:textFill>
        <w14:solidFill>
          <w14:schemeClr w14:val="tx1"/>
        </w14:solidFill>
      </w14:textFill>
    </w:rPr>
  </w:style>
  <w:style w:type="table" w:styleId="58">
    <w:name w:val="Table Columns 4"/>
    <w:basedOn w:val="35"/>
    <w:qFormat/>
    <w:uiPriority w:val="0"/>
    <w:pPr>
      <w:spacing w:after="0" w:line="240" w:lineRule="auto"/>
      <w:contextualSpacing/>
      <w:jc w:val="center"/>
    </w:pPr>
    <w:rPr>
      <w:rFonts w:eastAsia="Times New Roman" w:cs="Times New Roman"/>
      <w:color w:val="000000" w:themeColor="text1"/>
      <w:szCs w:val="20"/>
      <w:lang w:eastAsia="fr-FR"/>
      <w14:textFill>
        <w14:solidFill>
          <w14:schemeClr w14:val="tx1"/>
        </w14:solidFill>
      </w14:textFill>
    </w:rPr>
    <w:tblPr>
      <w:jc w:val="center"/>
      <w:tblBorders>
        <w:insideH w:val="single" w:color="232253" w:themeColor="text2" w:sz="8" w:space="0"/>
      </w:tblBorders>
    </w:tblPr>
    <w:trPr>
      <w:jc w:val="center"/>
    </w:trPr>
    <w:tcPr>
      <w:vAlign w:val="center"/>
    </w:tcPr>
    <w:tblStylePr w:type="firstRow">
      <w:pPr>
        <w:jc w:val="center"/>
      </w:pPr>
      <w:rPr>
        <w:rFonts w:asciiTheme="minorHAnsi" w:hAnsiTheme="minorHAnsi"/>
        <w:b/>
        <w:color w:val="FFFFFF"/>
      </w:rPr>
      <w:tcPr>
        <w:tcBorders>
          <w:bottom w:val="single" w:color="232253" w:themeColor="text2" w:sz="18" w:space="0"/>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character" w:customStyle="1" w:styleId="59">
    <w:name w:val="Signature Car"/>
    <w:basedOn w:val="11"/>
    <w:link w:val="30"/>
    <w:semiHidden/>
    <w:qFormat/>
    <w:uiPriority w:val="5"/>
    <w:rPr>
      <w:color w:val="000000"/>
      <w:szCs w:val="21"/>
    </w:rPr>
  </w:style>
  <w:style w:type="character" w:customStyle="1" w:styleId="60">
    <w:name w:val="Texte de bulles Car"/>
    <w:basedOn w:val="11"/>
    <w:link w:val="24"/>
    <w:semiHidden/>
    <w:qFormat/>
    <w:uiPriority w:val="99"/>
    <w:rPr>
      <w:rFonts w:ascii="Tahoma" w:hAnsi="Tahoma" w:cs="Tahoma"/>
      <w:color w:val="000000" w:themeColor="text1"/>
      <w:sz w:val="16"/>
      <w:szCs w:val="16"/>
      <w14:textFill>
        <w14:solidFill>
          <w14:schemeClr w14:val="tx1"/>
        </w14:solidFill>
      </w14:textFill>
    </w:rPr>
  </w:style>
  <w:style w:type="table" w:styleId="61">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
    <w:name w:val="Tableau Car"/>
    <w:basedOn w:val="42"/>
    <w:link w:val="40"/>
    <w:qFormat/>
    <w:uiPriority w:val="22"/>
    <w:rPr>
      <w:rFonts w:ascii="Marianne" w:hAnsi="Marianne" w:eastAsia="Times New Roman" w:cs="Times New Roman"/>
      <w:color w:val="000000" w:themeColor="text1"/>
      <w:sz w:val="20"/>
      <w:szCs w:val="20"/>
      <w:lang w:eastAsia="fr-FR"/>
      <w14:textFill>
        <w14:solidFill>
          <w14:schemeClr w14:val="tx1"/>
        </w14:solidFill>
      </w14:textFill>
    </w:rPr>
  </w:style>
  <w:style w:type="paragraph" w:customStyle="1" w:styleId="63">
    <w:name w:val="Image"/>
    <w:basedOn w:val="1"/>
    <w:next w:val="22"/>
    <w:link w:val="65"/>
    <w:qFormat/>
    <w:uiPriority w:val="24"/>
    <w:pPr>
      <w:keepNext/>
      <w:jc w:val="center"/>
    </w:pPr>
    <w:rPr>
      <w:lang w:eastAsia="fr-FR"/>
    </w:rPr>
  </w:style>
  <w:style w:type="paragraph" w:customStyle="1" w:styleId="64">
    <w:name w:val="Encadré"/>
    <w:basedOn w:val="1"/>
    <w:link w:val="66"/>
    <w:qFormat/>
    <w:uiPriority w:val="19"/>
    <w:pPr>
      <w:pBdr>
        <w:top w:val="single" w:color="3891AF" w:themeColor="accent5" w:themeShade="BF" w:sz="6" w:space="1"/>
        <w:left w:val="single" w:color="3891AF" w:themeColor="accent5" w:themeShade="BF" w:sz="6" w:space="4"/>
        <w:bottom w:val="single" w:color="3891AF" w:themeColor="accent5" w:themeShade="BF" w:sz="6" w:space="1"/>
        <w:right w:val="single" w:color="3891AF" w:themeColor="accent5" w:themeShade="BF" w:sz="6" w:space="4"/>
      </w:pBdr>
      <w:shd w:val="clear" w:color="auto" w:fill="CDE5F6" w:themeFill="accent2"/>
    </w:pPr>
  </w:style>
  <w:style w:type="character" w:customStyle="1" w:styleId="65">
    <w:name w:val="Image Car"/>
    <w:basedOn w:val="11"/>
    <w:link w:val="63"/>
    <w:qFormat/>
    <w:uiPriority w:val="24"/>
    <w:rPr>
      <w:color w:val="000000"/>
      <w:szCs w:val="21"/>
      <w:lang w:eastAsia="fr-FR"/>
    </w:rPr>
  </w:style>
  <w:style w:type="character" w:customStyle="1" w:styleId="66">
    <w:name w:val="Encadré Car"/>
    <w:basedOn w:val="11"/>
    <w:link w:val="64"/>
    <w:qFormat/>
    <w:uiPriority w:val="19"/>
    <w:rPr>
      <w:rFonts w:ascii="Marianne" w:hAnsi="Marianne"/>
      <w:color w:val="000000" w:themeColor="text1"/>
      <w:szCs w:val="21"/>
      <w:shd w:val="clear" w:color="auto" w:fill="CDE5F6" w:themeFill="accent2"/>
      <w14:textFill>
        <w14:solidFill>
          <w14:schemeClr w14:val="tx1"/>
        </w14:solidFill>
      </w14:textFill>
    </w:rPr>
  </w:style>
  <w:style w:type="paragraph" w:customStyle="1" w:styleId="67">
    <w:name w:val="Par. av liste"/>
    <w:basedOn w:val="1"/>
    <w:next w:val="31"/>
    <w:link w:val="69"/>
    <w:qFormat/>
    <w:uiPriority w:val="10"/>
    <w:pPr>
      <w:keepNext/>
    </w:pPr>
  </w:style>
  <w:style w:type="paragraph" w:customStyle="1" w:styleId="68">
    <w:name w:val="Décide"/>
    <w:basedOn w:val="1"/>
    <w:link w:val="71"/>
    <w:semiHidden/>
    <w:qFormat/>
    <w:uiPriority w:val="2"/>
    <w:pPr>
      <w:keepNext/>
      <w:spacing w:before="360" w:after="240"/>
    </w:pPr>
    <w:rPr>
      <w:b/>
    </w:rPr>
  </w:style>
  <w:style w:type="character" w:customStyle="1" w:styleId="69">
    <w:name w:val="Par. av liste Car"/>
    <w:basedOn w:val="11"/>
    <w:link w:val="67"/>
    <w:qFormat/>
    <w:uiPriority w:val="10"/>
    <w:rPr>
      <w:color w:val="000000"/>
      <w:szCs w:val="21"/>
    </w:rPr>
  </w:style>
  <w:style w:type="paragraph" w:customStyle="1" w:styleId="70">
    <w:name w:val="Fonction signataire"/>
    <w:basedOn w:val="30"/>
    <w:next w:val="30"/>
    <w:link w:val="73"/>
    <w:semiHidden/>
    <w:qFormat/>
    <w:uiPriority w:val="4"/>
    <w:pPr>
      <w:keepNext/>
      <w:spacing w:before="120" w:after="840"/>
    </w:pPr>
  </w:style>
  <w:style w:type="character" w:customStyle="1" w:styleId="71">
    <w:name w:val="Décide Car"/>
    <w:basedOn w:val="11"/>
    <w:link w:val="68"/>
    <w:semiHidden/>
    <w:qFormat/>
    <w:uiPriority w:val="2"/>
    <w:rPr>
      <w:b/>
      <w:color w:val="000000"/>
      <w:szCs w:val="21"/>
    </w:rPr>
  </w:style>
  <w:style w:type="paragraph" w:customStyle="1" w:styleId="72">
    <w:name w:val="Lieu et date"/>
    <w:basedOn w:val="1"/>
    <w:next w:val="70"/>
    <w:link w:val="74"/>
    <w:semiHidden/>
    <w:qFormat/>
    <w:uiPriority w:val="3"/>
    <w:pPr>
      <w:keepNext/>
      <w:spacing w:before="360"/>
    </w:pPr>
  </w:style>
  <w:style w:type="character" w:customStyle="1" w:styleId="73">
    <w:name w:val="Fonction signataire Car"/>
    <w:basedOn w:val="59"/>
    <w:link w:val="70"/>
    <w:semiHidden/>
    <w:qFormat/>
    <w:uiPriority w:val="4"/>
    <w:rPr>
      <w:color w:val="000000"/>
      <w:szCs w:val="21"/>
    </w:rPr>
  </w:style>
  <w:style w:type="character" w:customStyle="1" w:styleId="74">
    <w:name w:val="Lieu et date Car"/>
    <w:basedOn w:val="11"/>
    <w:link w:val="72"/>
    <w:semiHidden/>
    <w:qFormat/>
    <w:uiPriority w:val="3"/>
    <w:rPr>
      <w:color w:val="000000"/>
      <w:szCs w:val="21"/>
    </w:rPr>
  </w:style>
  <w:style w:type="table" w:styleId="75">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paragraph" w:customStyle="1" w:styleId="76">
    <w:name w:val="Délibéré"/>
    <w:basedOn w:val="1"/>
    <w:link w:val="77"/>
    <w:semiHidden/>
    <w:qFormat/>
    <w:uiPriority w:val="0"/>
    <w:pPr>
      <w:spacing w:before="360"/>
    </w:pPr>
  </w:style>
  <w:style w:type="character" w:customStyle="1" w:styleId="77">
    <w:name w:val="Délibéré Car"/>
    <w:basedOn w:val="11"/>
    <w:link w:val="76"/>
    <w:semiHidden/>
    <w:qFormat/>
    <w:uiPriority w:val="0"/>
    <w:rPr>
      <w:color w:val="000000"/>
      <w:szCs w:val="21"/>
    </w:rPr>
  </w:style>
  <w:style w:type="character" w:customStyle="1" w:styleId="78">
    <w:name w:val="Sous-titre Car"/>
    <w:basedOn w:val="11"/>
    <w:link w:val="16"/>
    <w:qFormat/>
    <w:uiPriority w:val="5"/>
    <w:rPr>
      <w:rFonts w:ascii="Marianne" w:hAnsi="Marianne" w:eastAsiaTheme="majorEastAsia" w:cstheme="majorBidi"/>
      <w:b/>
      <w:iCs/>
      <w:color w:val="3891AF" w:themeColor="accent5" w:themeShade="BF"/>
      <w:spacing w:val="15"/>
      <w:sz w:val="24"/>
      <w:szCs w:val="24"/>
    </w:rPr>
  </w:style>
  <w:style w:type="table" w:customStyle="1" w:styleId="79">
    <w:name w:val="Tableau Arcep 2"/>
    <w:basedOn w:val="58"/>
    <w:qFormat/>
    <w:uiPriority w:val="99"/>
    <w:tblPr>
      <w:tblBorders>
        <w:top w:val="single" w:color="232253" w:themeColor="text2" w:sz="4" w:space="0"/>
        <w:left w:val="single" w:color="232253" w:themeColor="text2" w:sz="4" w:space="0"/>
        <w:bottom w:val="single" w:color="232253" w:themeColor="text2" w:sz="4" w:space="0"/>
        <w:right w:val="single" w:color="232253" w:themeColor="text2" w:sz="4" w:space="0"/>
        <w:insideH w:val="single" w:color="232253" w:themeColor="text2" w:sz="4" w:space="0"/>
        <w:insideV w:val="single" w:color="232253" w:themeColor="text2" w:sz="4" w:space="0"/>
      </w:tblBorders>
    </w:tblPr>
    <w:trPr>
      <w:cantSplit/>
    </w:trPr>
    <w:tcPr>
      <w:shd w:val="clear" w:color="auto" w:fill="auto"/>
    </w:tcPr>
    <w:tblStylePr w:type="firstRow">
      <w:pPr>
        <w:jc w:val="left"/>
      </w:pPr>
      <w:rPr>
        <w:rFonts w:asciiTheme="minorHAnsi" w:hAnsiTheme="minorHAnsi"/>
        <w:b/>
        <w:color w:val="auto"/>
        <w:sz w:val="22"/>
      </w:rPr>
      <w:tcPr>
        <w:tcBorders>
          <w:bottom w:val="single" w:color="232253" w:themeColor="text2" w:sz="12" w:space="0"/>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80">
    <w:name w:val="Calendrier 1"/>
    <w:basedOn w:val="35"/>
    <w:qFormat/>
    <w:uiPriority w:val="99"/>
    <w:pPr>
      <w:spacing w:after="0" w:line="240" w:lineRule="auto"/>
    </w:pPr>
    <w:rPr>
      <w:rFonts w:eastAsiaTheme="minorEastAsia"/>
      <w:lang w:eastAsia="fr-FR"/>
    </w:r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cPr>
        <w:vAlign w:val="bottom"/>
      </w:tcPr>
    </w:tblStylePr>
    <w:tblStylePr w:type="lastRow">
      <w:tcPr>
        <w:tcBorders>
          <w:top w:val="nil"/>
          <w:left w:val="nil"/>
          <w:bottom w:val="nil"/>
          <w:right w:val="nil"/>
          <w:insideH w:val="nil"/>
          <w:insideV w:val="nil"/>
          <w:tl2br w:val="nil"/>
          <w:tr2bl w:val="nil"/>
        </w:tcBorders>
        <w:shd w:val="clear" w:color="auto" w:fill="auto"/>
      </w:tcPr>
    </w:tblStylePr>
    <w:tblStylePr w:type="band1Horz">
      <w:tcPr>
        <w:tcBorders>
          <w:top w:val="nil"/>
          <w:left w:val="nil"/>
          <w:bottom w:val="nil"/>
          <w:right w:val="nil"/>
          <w:insideH w:val="nil"/>
          <w:insideV w:val="nil"/>
          <w:tl2br w:val="nil"/>
          <w:tr2bl w:val="nil"/>
        </w:tcBorders>
        <w:shd w:val="clear" w:color="auto" w:fill="auto"/>
      </w:tcPr>
    </w:tblStylePr>
    <w:tblStylePr w:type="band2Horz">
      <w:tcPr>
        <w:tcBorders>
          <w:top w:val="single" w:color="000000" w:themeColor="text1" w:sz="24" w:space="0"/>
          <w:left w:val="nil"/>
          <w:bottom w:val="single" w:color="000000" w:themeColor="text1" w:sz="24" w:space="0"/>
          <w:right w:val="nil"/>
          <w:insideH w:val="nil"/>
          <w:insideV w:val="nil"/>
          <w:tl2br w:val="nil"/>
          <w:tr2bl w:val="nil"/>
        </w:tcBorders>
        <w:shd w:val="clear" w:color="auto" w:fill="auto"/>
      </w:tcPr>
    </w:tblStylePr>
  </w:style>
  <w:style w:type="character" w:customStyle="1" w:styleId="81">
    <w:name w:val="Unresolved Mention"/>
    <w:basedOn w:val="11"/>
    <w:semiHidden/>
    <w:unhideWhenUsed/>
    <w:qFormat/>
    <w:uiPriority w:val="99"/>
    <w:rPr>
      <w:color w:val="605E5C"/>
      <w:shd w:val="clear" w:color="auto" w:fill="E1DFDD"/>
    </w:rPr>
  </w:style>
  <w:style w:type="paragraph" w:customStyle="1" w:styleId="82">
    <w:name w:val="TOC Heading"/>
    <w:basedOn w:val="2"/>
    <w:next w:val="1"/>
    <w:unhideWhenUsed/>
    <w:qFormat/>
    <w:uiPriority w:val="39"/>
    <w:pPr>
      <w:numPr>
        <w:ilvl w:val="0"/>
        <w:numId w:val="0"/>
      </w:numPr>
      <w:spacing w:before="240" w:after="0" w:line="259" w:lineRule="auto"/>
      <w:outlineLvl w:val="9"/>
    </w:pPr>
    <w:rPr>
      <w:rFonts w:asciiTheme="majorHAnsi" w:hAnsiTheme="majorHAnsi" w:cstheme="majorBidi"/>
      <w:b w:val="0"/>
      <w:bCs w:val="0"/>
      <w:color w:val="063B6B" w:themeColor="accent1" w:themeShade="BF"/>
      <w:sz w:val="32"/>
      <w:szCs w:val="32"/>
      <w:lang w:eastAsia="fr-FR"/>
    </w:rPr>
  </w:style>
  <w:style w:type="character" w:customStyle="1" w:styleId="83">
    <w:name w:val="Commentaire Car"/>
    <w:basedOn w:val="11"/>
    <w:link w:val="21"/>
    <w:qFormat/>
    <w:uiPriority w:val="99"/>
    <w:rPr>
      <w:rFonts w:ascii="Marianne" w:hAnsi="Marianne"/>
      <w:color w:val="000000" w:themeColor="text1"/>
      <w:sz w:val="20"/>
      <w:szCs w:val="20"/>
      <w14:textFill>
        <w14:solidFill>
          <w14:schemeClr w14:val="tx1"/>
        </w14:solidFill>
      </w14:textFill>
    </w:rPr>
  </w:style>
  <w:style w:type="character" w:customStyle="1" w:styleId="84">
    <w:name w:val="Objet du commentaire Car"/>
    <w:basedOn w:val="83"/>
    <w:link w:val="20"/>
    <w:semiHidden/>
    <w:qFormat/>
    <w:uiPriority w:val="99"/>
    <w:rPr>
      <w:rFonts w:ascii="Marianne" w:hAnsi="Marianne"/>
      <w:b/>
      <w:bCs/>
      <w:color w:val="000000" w:themeColor="text1"/>
      <w:sz w:val="20"/>
      <w:szCs w:val="20"/>
      <w14:textFill>
        <w14:solidFill>
          <w14:schemeClr w14:val="tx1"/>
        </w14:solidFill>
      </w14:textFill>
    </w:rPr>
  </w:style>
  <w:style w:type="table" w:customStyle="1" w:styleId="85">
    <w:name w:val="Grille du tableau1"/>
    <w:basedOn w:val="35"/>
    <w:qFormat/>
    <w:uiPriority w:val="59"/>
    <w:pPr>
      <w:spacing w:before="200"/>
    </w:pPr>
    <w:rPr>
      <w:rFonts w:ascii="Calibri" w:hAnsi="Calibri" w:eastAsia="MS Mincho" w:cs="Times New Roman"/>
      <w:lang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6">
    <w:name w:val="Paragraphe de liste Car"/>
    <w:basedOn w:val="11"/>
    <w:link w:val="18"/>
    <w:qFormat/>
    <w:locked/>
    <w:uiPriority w:val="34"/>
    <w:rPr>
      <w:rFonts w:ascii="Marianne" w:hAnsi="Marianne"/>
      <w:color w:val="000000" w:themeColor="text1"/>
      <w:szCs w:val="21"/>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ubert\AppData\Local\Temp\Note.dotx" TargetMode="External"/></Relationships>
</file>

<file path=word/theme/theme1.xml><?xml version="1.0" encoding="utf-8"?>
<a:theme xmlns:a="http://schemas.openxmlformats.org/drawingml/2006/main" name="ARCEP 2016">
  <a:themeElements>
    <a:clrScheme name="Arcep pivote 5">
      <a:dk1>
        <a:srgbClr val="000000"/>
      </a:dk1>
      <a:lt1>
        <a:sysClr val="window" lastClr="FFFFFF"/>
      </a:lt1>
      <a:dk2>
        <a:srgbClr val="232253"/>
      </a:dk2>
      <a:lt2>
        <a:srgbClr val="C9C0B1"/>
      </a:lt2>
      <a:accent1>
        <a:srgbClr val="084E8E"/>
      </a:accent1>
      <a:accent2>
        <a:srgbClr val="CDE5F6"/>
      </a:accent2>
      <a:accent3>
        <a:srgbClr val="E56463"/>
      </a:accent3>
      <a:accent4>
        <a:srgbClr val="6560A8"/>
      </a:accent4>
      <a:accent5>
        <a:srgbClr val="67B4CE"/>
      </a:accent5>
      <a:accent6>
        <a:srgbClr val="F07374"/>
      </a:accent6>
      <a:hlink>
        <a:srgbClr val="5AC5CD"/>
      </a:hlink>
      <a:folHlink>
        <a:srgbClr val="E67FA3"/>
      </a:folHlink>
    </a:clrScheme>
    <a:fontScheme name="ARCEP presentation">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GB.XSL" StyleName="GB7714"/>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E997C78227BE8479796583E7FE9AF5B" ma:contentTypeVersion="2" ma:contentTypeDescription="Crée un document." ma:contentTypeScope="" ma:versionID="a5c031496aa6c8657b26dc4249454a05">
  <xsd:schema xmlns:xsd="http://www.w3.org/2001/XMLSchema" xmlns:xs="http://www.w3.org/2001/XMLSchema" xmlns:p="http://schemas.microsoft.com/office/2006/metadata/properties" xmlns:ns1="http://schemas.microsoft.com/sharepoint/v3" xmlns:ns2="0fdf0f57-bdd0-4a9a-8a03-a0c3dbf46d54" targetNamespace="http://schemas.microsoft.com/office/2006/metadata/properties" ma:root="true" ma:fieldsID="3ed1a9cffdcd8414a1b97821a1ccea3e" ns1:_="" ns2:_="">
    <xsd:import namespace="http://schemas.microsoft.com/sharepoint/v3"/>
    <xsd:import namespace="0fdf0f57-bdd0-4a9a-8a03-a0c3dbf46d54"/>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aru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aru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df0f57-bdd0-4a9a-8a03-a0c3dbf46d5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8A3389-DF36-4402-ADA3-010DFF3EF199}">
  <ds:schemaRefs/>
</ds:datastoreItem>
</file>

<file path=customXml/itemProps3.xml><?xml version="1.0" encoding="utf-8"?>
<ds:datastoreItem xmlns:ds="http://schemas.openxmlformats.org/officeDocument/2006/customXml" ds:itemID="{A0530E89-1C9A-44F1-90C5-D7AACBA2412F}">
  <ds:schemaRefs/>
</ds:datastoreItem>
</file>

<file path=customXml/itemProps4.xml><?xml version="1.0" encoding="utf-8"?>
<ds:datastoreItem xmlns:ds="http://schemas.openxmlformats.org/officeDocument/2006/customXml" ds:itemID="{5E193B2E-45AF-42E9-9481-39C16DD46B08}">
  <ds:schemaRefs/>
</ds:datastoreItem>
</file>

<file path=customXml/itemProps5.xml><?xml version="1.0" encoding="utf-8"?>
<ds:datastoreItem xmlns:ds="http://schemas.openxmlformats.org/officeDocument/2006/customXml" ds:itemID="{A89BC212-C914-43CE-BE69-C6A0A3F0AE7D}">
  <ds:schemaRefs/>
</ds:datastoreItem>
</file>

<file path=docProps/app.xml><?xml version="1.0" encoding="utf-8"?>
<Properties xmlns="http://schemas.openxmlformats.org/officeDocument/2006/extended-properties" xmlns:vt="http://schemas.openxmlformats.org/officeDocument/2006/docPropsVTypes">
  <Template>Note.dotx</Template>
  <Company>ARCEP</Company>
  <Pages>9</Pages>
  <Words>1948</Words>
  <Characters>10737</Characters>
  <Lines>128</Lines>
  <Paragraphs>36</Paragraphs>
  <TotalTime>20</TotalTime>
  <ScaleCrop>false</ScaleCrop>
  <LinksUpToDate>false</LinksUpToDate>
  <CharactersWithSpaces>12516</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2025-01-06T09:32:00Z</dcterms:created>
  <dc:creator>Anais Aubert</dc:creator>
  <cp:lastModifiedBy>Bernard Velez</cp:lastModifiedBy>
  <cp:lastPrinted>2026-08-06T12:03:00Z</cp:lastPrinted>
  <dcterms:modified xsi:type="dcterms:W3CDTF">2026-08-18T12:51:11Z</dcterms:modified>
  <dc:title>Modèle Note IGN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0x0101004E997C78227BE8479796583E7FE9AF5B</vt:lpwstr>
  </property>
  <property fmtid="{D5CDD505-2E9C-101B-9397-08002B2CF9AE}" pid="3" name="KSOProductBuildVer">
    <vt:lpwstr>1036-12.1.0.28032</vt:lpwstr>
  </property>
  <property fmtid="{D5CDD505-2E9C-101B-9397-08002B2CF9AE}" pid="4" name="ICV">
    <vt:lpwstr>D8F14CB0B51244DAB5B9E0CB5F4CD28F_12</vt:lpwstr>
  </property>
  <property fmtid="{D5CDD505-2E9C-101B-9397-08002B2CF9AE}" pid="5" name="KSOTemplateDocerSaveRecord">
    <vt:lpwstr>eyJoZGlkIjoiNzk3M2VjMmQwMzFmNTZmMGU0MzkxMmY2MDM5YmNmYjMiLCJ1c2VySWQiOiIzNzI4NzE4ODQzMzE4In0=</vt:lpwstr>
  </property>
</Properties>
</file>